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03B4B" w14:textId="77777777" w:rsidR="006045D2" w:rsidRDefault="006045D2" w:rsidP="006045D2">
      <w:pPr>
        <w:spacing w:before="360" w:line="358" w:lineRule="exact"/>
        <w:ind w:right="-845"/>
        <w:jc w:val="center"/>
        <w:rPr>
          <w:rFonts w:eastAsia="Times New Roman" w:cstheme="minorHAnsi"/>
          <w:b/>
          <w:bCs/>
          <w:sz w:val="40"/>
          <w:szCs w:val="40"/>
        </w:rPr>
      </w:pPr>
      <w:r w:rsidRPr="0092085D">
        <w:rPr>
          <w:rFonts w:eastAsia="Times New Roman" w:cstheme="minorHAnsi"/>
          <w:b/>
          <w:bCs/>
          <w:noProof/>
          <w:sz w:val="40"/>
          <w:szCs w:val="40"/>
        </w:rPr>
        <mc:AlternateContent>
          <mc:Choice Requires="wps">
            <w:drawing>
              <wp:anchor distT="0" distB="0" distL="114300" distR="114300" simplePos="0" relativeHeight="251662336" behindDoc="0" locked="0" layoutInCell="1" allowOverlap="1" wp14:anchorId="5C3C5DD8" wp14:editId="12E90D99">
                <wp:simplePos x="0" y="0"/>
                <wp:positionH relativeFrom="column">
                  <wp:posOffset>878774</wp:posOffset>
                </wp:positionH>
                <wp:positionV relativeFrom="paragraph">
                  <wp:posOffset>222892</wp:posOffset>
                </wp:positionV>
                <wp:extent cx="6086475" cy="2232561"/>
                <wp:effectExtent l="0" t="0" r="0" b="0"/>
                <wp:wrapNone/>
                <wp:docPr id="1"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3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0A71" w14:textId="77777777" w:rsidR="006045D2" w:rsidRDefault="006045D2" w:rsidP="006045D2">
                            <w:pPr>
                              <w:pStyle w:val="NormalWeb"/>
                              <w:spacing w:before="0" w:beforeAutospacing="0" w:after="0" w:afterAutospacing="0"/>
                            </w:pPr>
                            <w:r>
                              <w:rPr>
                                <w:rFonts w:ascii="Britannic Bold" w:hAnsi="Britannic Bold" w:cstheme="minorBidi"/>
                                <w:b/>
                                <w:bCs/>
                                <w:color w:val="000000" w:themeColor="text1"/>
                                <w:kern w:val="24"/>
                                <w:sz w:val="72"/>
                                <w:szCs w:val="72"/>
                                <w:lang w:val="fr-CA"/>
                              </w:rPr>
                              <w:t>Derrière le masque :</w:t>
                            </w:r>
                          </w:p>
                          <w:p w14:paraId="2AB06C3D" w14:textId="77777777" w:rsidR="006045D2" w:rsidRDefault="006045D2" w:rsidP="006045D2">
                            <w:pPr>
                              <w:pStyle w:val="NormalWeb"/>
                              <w:spacing w:before="0" w:beforeAutospacing="0" w:after="0" w:afterAutospacing="0"/>
                            </w:pPr>
                            <w:r>
                              <w:rPr>
                                <w:rFonts w:ascii="Britannic Bold" w:hAnsi="Britannic Bold" w:cstheme="minorBidi"/>
                                <w:b/>
                                <w:bCs/>
                                <w:color w:val="000000" w:themeColor="text1"/>
                                <w:kern w:val="24"/>
                                <w:sz w:val="32"/>
                                <w:szCs w:val="32"/>
                                <w:lang w:val="fr-CA"/>
                              </w:rPr>
                              <w:t xml:space="preserve">Enjeux d’éthiques mis en évidence par la Covid-19 </w:t>
                            </w:r>
                          </w:p>
                          <w:p w14:paraId="4D353C2C" w14:textId="77777777" w:rsidR="006045D2" w:rsidRDefault="006045D2" w:rsidP="006045D2">
                            <w:pPr>
                              <w:pStyle w:val="NormalWeb"/>
                              <w:spacing w:before="0" w:beforeAutospacing="0" w:after="0" w:afterAutospacing="0"/>
                            </w:pPr>
                            <w:proofErr w:type="gramStart"/>
                            <w:r>
                              <w:rPr>
                                <w:rFonts w:ascii="Britannic Bold" w:hAnsi="Britannic Bold" w:cstheme="minorBidi"/>
                                <w:b/>
                                <w:bCs/>
                                <w:color w:val="000000" w:themeColor="text1"/>
                                <w:kern w:val="24"/>
                                <w:sz w:val="32"/>
                                <w:szCs w:val="32"/>
                                <w:lang w:val="fr-CA"/>
                              </w:rPr>
                              <w:t>au</w:t>
                            </w:r>
                            <w:proofErr w:type="gramEnd"/>
                            <w:r>
                              <w:rPr>
                                <w:rFonts w:ascii="Britannic Bold" w:hAnsi="Britannic Bold" w:cstheme="minorBidi"/>
                                <w:b/>
                                <w:bCs/>
                                <w:color w:val="000000" w:themeColor="text1"/>
                                <w:kern w:val="24"/>
                                <w:sz w:val="32"/>
                                <w:szCs w:val="32"/>
                                <w:lang w:val="fr-CA"/>
                              </w:rPr>
                              <w:t xml:space="preserve"> Canada et ailleurs</w:t>
                            </w:r>
                          </w:p>
                          <w:p w14:paraId="0E523FED" w14:textId="77777777" w:rsidR="006045D2" w:rsidRDefault="006045D2" w:rsidP="006045D2">
                            <w:pPr>
                              <w:pStyle w:val="NormalWeb"/>
                              <w:kinsoku w:val="0"/>
                              <w:overflowPunct w:val="0"/>
                              <w:spacing w:before="240" w:beforeAutospacing="0" w:after="0" w:afterAutospacing="0"/>
                              <w:textAlignment w:val="baseline"/>
                            </w:pPr>
                            <w:proofErr w:type="spellStart"/>
                            <w:r>
                              <w:rPr>
                                <w:rFonts w:ascii="Calibri" w:eastAsia="Times New Roman" w:hAnsi="Calibri" w:cs="Calibri"/>
                                <w:color w:val="000000"/>
                                <w:kern w:val="24"/>
                                <w:sz w:val="32"/>
                                <w:szCs w:val="32"/>
                                <w:lang w:val="en-US"/>
                              </w:rPr>
                              <w:t>Societé</w:t>
                            </w:r>
                            <w:proofErr w:type="spellEnd"/>
                            <w:r>
                              <w:rPr>
                                <w:rFonts w:ascii="Calibri" w:eastAsia="Times New Roman" w:hAnsi="Calibri" w:cs="Calibri"/>
                                <w:color w:val="000000"/>
                                <w:kern w:val="24"/>
                                <w:sz w:val="32"/>
                                <w:szCs w:val="32"/>
                                <w:lang w:val="en-US"/>
                              </w:rPr>
                              <w:t xml:space="preserve"> </w:t>
                            </w:r>
                            <w:proofErr w:type="spellStart"/>
                            <w:r>
                              <w:rPr>
                                <w:rFonts w:ascii="Calibri" w:eastAsia="Times New Roman" w:hAnsi="Calibri" w:cs="Calibri"/>
                                <w:color w:val="000000"/>
                                <w:kern w:val="24"/>
                                <w:sz w:val="32"/>
                                <w:szCs w:val="32"/>
                                <w:lang w:val="en-US"/>
                              </w:rPr>
                              <w:t>canadienne</w:t>
                            </w:r>
                            <w:proofErr w:type="spellEnd"/>
                            <w:r>
                              <w:rPr>
                                <w:rFonts w:ascii="Calibri" w:eastAsia="Times New Roman" w:hAnsi="Calibri" w:cs="Calibri"/>
                                <w:color w:val="000000"/>
                                <w:kern w:val="24"/>
                                <w:sz w:val="32"/>
                                <w:szCs w:val="32"/>
                                <w:lang w:val="en-US"/>
                              </w:rPr>
                              <w:t xml:space="preserve"> de </w:t>
                            </w:r>
                            <w:proofErr w:type="spellStart"/>
                            <w:r>
                              <w:rPr>
                                <w:rFonts w:ascii="Calibri" w:eastAsia="Times New Roman" w:hAnsi="Calibri" w:cs="Calibri"/>
                                <w:color w:val="000000"/>
                                <w:kern w:val="24"/>
                                <w:sz w:val="32"/>
                                <w:szCs w:val="32"/>
                                <w:lang w:val="en-US"/>
                              </w:rPr>
                              <w:t>bioéthique</w:t>
                            </w:r>
                            <w:proofErr w:type="spellEnd"/>
                            <w:r>
                              <w:rPr>
                                <w:rFonts w:ascii="Calibri" w:eastAsia="Times New Roman" w:hAnsi="Calibri" w:cs="Calibri"/>
                                <w:color w:val="000000"/>
                                <w:kern w:val="24"/>
                                <w:sz w:val="32"/>
                                <w:szCs w:val="32"/>
                                <w:lang w:val="en-US"/>
                              </w:rPr>
                              <w:t xml:space="preserve"> 32e conference </w:t>
                            </w:r>
                            <w:proofErr w:type="spellStart"/>
                            <w:r>
                              <w:rPr>
                                <w:rFonts w:ascii="Calibri" w:eastAsia="Times New Roman" w:hAnsi="Calibri" w:cs="Calibri"/>
                                <w:color w:val="000000"/>
                                <w:kern w:val="24"/>
                                <w:sz w:val="32"/>
                                <w:szCs w:val="32"/>
                                <w:lang w:val="en-US"/>
                              </w:rPr>
                              <w:t>virtuelle</w:t>
                            </w:r>
                            <w:proofErr w:type="spellEnd"/>
                            <w:r>
                              <w:rPr>
                                <w:rFonts w:ascii="Calibri" w:eastAsia="Times New Roman" w:hAnsi="Calibri" w:cs="Calibri"/>
                                <w:color w:val="000000"/>
                                <w:kern w:val="24"/>
                                <w:sz w:val="32"/>
                                <w:szCs w:val="32"/>
                                <w:lang w:val="en-US"/>
                              </w:rPr>
                              <w:t xml:space="preserve"> </w:t>
                            </w:r>
                            <w:proofErr w:type="spellStart"/>
                            <w:r>
                              <w:rPr>
                                <w:rFonts w:ascii="Calibri" w:eastAsia="Times New Roman" w:hAnsi="Calibri" w:cs="Calibri"/>
                                <w:color w:val="000000"/>
                                <w:kern w:val="24"/>
                                <w:sz w:val="32"/>
                                <w:szCs w:val="32"/>
                                <w:lang w:val="en-US"/>
                              </w:rPr>
                              <w:t>annuelle</w:t>
                            </w:r>
                            <w:proofErr w:type="spellEnd"/>
                          </w:p>
                          <w:p w14:paraId="046B15B5" w14:textId="77777777" w:rsidR="006045D2" w:rsidRDefault="006045D2" w:rsidP="006045D2">
                            <w:pPr>
                              <w:pStyle w:val="NormalWeb"/>
                              <w:kinsoku w:val="0"/>
                              <w:overflowPunct w:val="0"/>
                              <w:spacing w:before="0" w:beforeAutospacing="0" w:after="120" w:afterAutospacing="0"/>
                              <w:textAlignment w:val="baseline"/>
                            </w:pPr>
                            <w:r>
                              <w:rPr>
                                <w:rFonts w:ascii="Calibri" w:eastAsia="Times New Roman" w:hAnsi="Calibri" w:cs="Calibri"/>
                                <w:b/>
                                <w:bCs/>
                                <w:color w:val="000000"/>
                                <w:kern w:val="24"/>
                                <w:sz w:val="32"/>
                                <w:szCs w:val="32"/>
                                <w:lang w:val="en-US"/>
                              </w:rPr>
                              <w:t xml:space="preserve">26-28 </w:t>
                            </w:r>
                            <w:proofErr w:type="spellStart"/>
                            <w:r>
                              <w:rPr>
                                <w:rFonts w:ascii="Calibri" w:eastAsia="Times New Roman" w:hAnsi="Calibri" w:cs="Calibri"/>
                                <w:b/>
                                <w:bCs/>
                                <w:color w:val="000000"/>
                                <w:kern w:val="24"/>
                                <w:sz w:val="32"/>
                                <w:szCs w:val="32"/>
                                <w:lang w:val="en-US"/>
                              </w:rPr>
                              <w:t>mai</w:t>
                            </w:r>
                            <w:proofErr w:type="spellEnd"/>
                            <w:r>
                              <w:rPr>
                                <w:rFonts w:ascii="Calibri" w:eastAsia="Times New Roman" w:hAnsi="Calibri" w:cs="Calibri"/>
                                <w:b/>
                                <w:bCs/>
                                <w:color w:val="000000"/>
                                <w:kern w:val="24"/>
                                <w:sz w:val="32"/>
                                <w:szCs w:val="32"/>
                                <w:lang w:val="en-US"/>
                              </w:rPr>
                              <w:t xml:space="preserve"> 2021</w:t>
                            </w:r>
                          </w:p>
                          <w:p w14:paraId="1B2C737C" w14:textId="77777777" w:rsidR="006045D2" w:rsidRDefault="006045D2" w:rsidP="006045D2">
                            <w:pPr>
                              <w:pStyle w:val="NormalWeb"/>
                              <w:kinsoku w:val="0"/>
                              <w:overflowPunct w:val="0"/>
                              <w:spacing w:before="0" w:beforeAutospacing="0" w:after="120" w:afterAutospacing="0"/>
                              <w:textAlignment w:val="baseline"/>
                            </w:pPr>
                            <w:r>
                              <w:rPr>
                                <w:rFonts w:ascii="Calibri" w:eastAsia="Times New Roman" w:hAnsi="Calibri" w:cs="Calibri"/>
                                <w:color w:val="000000"/>
                                <w:kern w:val="24"/>
                                <w:sz w:val="32"/>
                                <w:szCs w:val="32"/>
                                <w:lang w:val="en-US"/>
                              </w:rPr>
                              <w:t xml:space="preserve">Ateliers </w:t>
                            </w:r>
                            <w:proofErr w:type="spellStart"/>
                            <w:r>
                              <w:rPr>
                                <w:rFonts w:ascii="Calibri" w:eastAsia="Times New Roman" w:hAnsi="Calibri" w:cs="Calibri"/>
                                <w:color w:val="000000"/>
                                <w:kern w:val="24"/>
                                <w:sz w:val="32"/>
                                <w:szCs w:val="32"/>
                                <w:lang w:val="en-US"/>
                              </w:rPr>
                              <w:t>pré</w:t>
                            </w:r>
                            <w:proofErr w:type="spellEnd"/>
                            <w:r>
                              <w:rPr>
                                <w:rFonts w:ascii="Calibri" w:eastAsia="Times New Roman" w:hAnsi="Calibri" w:cs="Calibri"/>
                                <w:color w:val="000000"/>
                                <w:kern w:val="24"/>
                                <w:sz w:val="32"/>
                                <w:szCs w:val="32"/>
                                <w:lang w:val="en-US"/>
                              </w:rPr>
                              <w:t xml:space="preserve">-conference – 25 </w:t>
                            </w:r>
                            <w:proofErr w:type="spellStart"/>
                            <w:r>
                              <w:rPr>
                                <w:rFonts w:ascii="Calibri" w:eastAsia="Times New Roman" w:hAnsi="Calibri" w:cs="Calibri"/>
                                <w:color w:val="000000"/>
                                <w:kern w:val="24"/>
                                <w:sz w:val="32"/>
                                <w:szCs w:val="32"/>
                                <w:lang w:val="en-US"/>
                              </w:rPr>
                              <w:t>mai</w:t>
                            </w:r>
                            <w:proofErr w:type="spellEnd"/>
                            <w:r>
                              <w:rPr>
                                <w:rFonts w:ascii="Calibri" w:eastAsia="Times New Roman" w:hAnsi="Calibri" w:cs="Calibri"/>
                                <w:color w:val="000000"/>
                                <w:kern w:val="24"/>
                                <w:sz w:val="32"/>
                                <w:szCs w:val="32"/>
                                <w:lang w:val="en-US"/>
                              </w:rPr>
                              <w:t xml:space="preserve"> 2021</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type w14:anchorId="5C3C5DD8" id="_x0000_t202" coordsize="21600,21600" o:spt="202" path="m,l,21600r21600,l21600,xe">
                <v:stroke joinstyle="miter"/>
                <v:path gradientshapeok="t" o:connecttype="rect"/>
              </v:shapetype>
              <v:shape id="TextBox 4" o:spid="_x0000_s1026" type="#_x0000_t202" style="position:absolute;left:0;text-align:left;margin-left:69.2pt;margin-top:17.55pt;width:479.25pt;height:17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" filled="f" stroked="f">
                <v:textbox>
                  <w:txbxContent>
                    <w:p w14:paraId="5F2F0A71" w14:textId="77777777" w:rsidR="006045D2" w:rsidRDefault="006045D2" w:rsidP="006045D2">
                      <w:pPr>
                        <w:pStyle w:val="NormalWeb"/>
                        <w:spacing w:before="0" w:beforeAutospacing="0" w:after="0" w:afterAutospacing="0"/>
                      </w:pPr>
                      <w:r>
                        <w:rPr>
                          <w:rFonts w:ascii="Britannic Bold" w:hAnsi="Britannic Bold" w:cstheme="minorBidi"/>
                          <w:b/>
                          <w:bCs/>
                          <w:color w:val="000000" w:themeColor="text1"/>
                          <w:kern w:val="24"/>
                          <w:sz w:val="72"/>
                          <w:szCs w:val="72"/>
                          <w:lang w:val="fr-CA"/>
                        </w:rPr>
                        <w:t>Derrière le masque :</w:t>
                      </w:r>
                    </w:p>
                    <w:p w14:paraId="2AB06C3D" w14:textId="77777777" w:rsidR="006045D2" w:rsidRDefault="006045D2" w:rsidP="006045D2">
                      <w:pPr>
                        <w:pStyle w:val="NormalWeb"/>
                        <w:spacing w:before="0" w:beforeAutospacing="0" w:after="0" w:afterAutospacing="0"/>
                      </w:pPr>
                      <w:r>
                        <w:rPr>
                          <w:rFonts w:ascii="Britannic Bold" w:hAnsi="Britannic Bold" w:cstheme="minorBidi"/>
                          <w:b/>
                          <w:bCs/>
                          <w:color w:val="000000" w:themeColor="text1"/>
                          <w:kern w:val="24"/>
                          <w:sz w:val="32"/>
                          <w:szCs w:val="32"/>
                          <w:lang w:val="fr-CA"/>
                        </w:rPr>
                        <w:t xml:space="preserve">Enjeux d’éthiques mis en évidence par la Covid-19 </w:t>
                      </w:r>
                    </w:p>
                    <w:p w14:paraId="4D353C2C" w14:textId="77777777" w:rsidR="006045D2" w:rsidRDefault="006045D2" w:rsidP="006045D2">
                      <w:pPr>
                        <w:pStyle w:val="NormalWeb"/>
                        <w:spacing w:before="0" w:beforeAutospacing="0" w:after="0" w:afterAutospacing="0"/>
                      </w:pPr>
                      <w:proofErr w:type="gramStart"/>
                      <w:r>
                        <w:rPr>
                          <w:rFonts w:ascii="Britannic Bold" w:hAnsi="Britannic Bold" w:cstheme="minorBidi"/>
                          <w:b/>
                          <w:bCs/>
                          <w:color w:val="000000" w:themeColor="text1"/>
                          <w:kern w:val="24"/>
                          <w:sz w:val="32"/>
                          <w:szCs w:val="32"/>
                          <w:lang w:val="fr-CA"/>
                        </w:rPr>
                        <w:t>au</w:t>
                      </w:r>
                      <w:proofErr w:type="gramEnd"/>
                      <w:r>
                        <w:rPr>
                          <w:rFonts w:ascii="Britannic Bold" w:hAnsi="Britannic Bold" w:cstheme="minorBidi"/>
                          <w:b/>
                          <w:bCs/>
                          <w:color w:val="000000" w:themeColor="text1"/>
                          <w:kern w:val="24"/>
                          <w:sz w:val="32"/>
                          <w:szCs w:val="32"/>
                          <w:lang w:val="fr-CA"/>
                        </w:rPr>
                        <w:t xml:space="preserve"> Canada et ailleurs</w:t>
                      </w:r>
                    </w:p>
                    <w:p w14:paraId="0E523FED" w14:textId="77777777" w:rsidR="006045D2" w:rsidRDefault="006045D2" w:rsidP="006045D2">
                      <w:pPr>
                        <w:pStyle w:val="NormalWeb"/>
                        <w:kinsoku w:val="0"/>
                        <w:overflowPunct w:val="0"/>
                        <w:spacing w:before="240" w:beforeAutospacing="0" w:after="0" w:afterAutospacing="0"/>
                        <w:textAlignment w:val="baseline"/>
                      </w:pPr>
                      <w:proofErr w:type="spellStart"/>
                      <w:r>
                        <w:rPr>
                          <w:rFonts w:ascii="Calibri" w:eastAsia="Times New Roman" w:hAnsi="Calibri" w:cs="Calibri"/>
                          <w:color w:val="000000"/>
                          <w:kern w:val="24"/>
                          <w:sz w:val="32"/>
                          <w:szCs w:val="32"/>
                          <w:lang w:val="en-US"/>
                        </w:rPr>
                        <w:t>Societé</w:t>
                      </w:r>
                      <w:proofErr w:type="spellEnd"/>
                      <w:r>
                        <w:rPr>
                          <w:rFonts w:ascii="Calibri" w:eastAsia="Times New Roman" w:hAnsi="Calibri" w:cs="Calibri"/>
                          <w:color w:val="000000"/>
                          <w:kern w:val="24"/>
                          <w:sz w:val="32"/>
                          <w:szCs w:val="32"/>
                          <w:lang w:val="en-US"/>
                        </w:rPr>
                        <w:t xml:space="preserve"> </w:t>
                      </w:r>
                      <w:proofErr w:type="spellStart"/>
                      <w:r>
                        <w:rPr>
                          <w:rFonts w:ascii="Calibri" w:eastAsia="Times New Roman" w:hAnsi="Calibri" w:cs="Calibri"/>
                          <w:color w:val="000000"/>
                          <w:kern w:val="24"/>
                          <w:sz w:val="32"/>
                          <w:szCs w:val="32"/>
                          <w:lang w:val="en-US"/>
                        </w:rPr>
                        <w:t>canadienne</w:t>
                      </w:r>
                      <w:proofErr w:type="spellEnd"/>
                      <w:r>
                        <w:rPr>
                          <w:rFonts w:ascii="Calibri" w:eastAsia="Times New Roman" w:hAnsi="Calibri" w:cs="Calibri"/>
                          <w:color w:val="000000"/>
                          <w:kern w:val="24"/>
                          <w:sz w:val="32"/>
                          <w:szCs w:val="32"/>
                          <w:lang w:val="en-US"/>
                        </w:rPr>
                        <w:t xml:space="preserve"> de </w:t>
                      </w:r>
                      <w:proofErr w:type="spellStart"/>
                      <w:r>
                        <w:rPr>
                          <w:rFonts w:ascii="Calibri" w:eastAsia="Times New Roman" w:hAnsi="Calibri" w:cs="Calibri"/>
                          <w:color w:val="000000"/>
                          <w:kern w:val="24"/>
                          <w:sz w:val="32"/>
                          <w:szCs w:val="32"/>
                          <w:lang w:val="en-US"/>
                        </w:rPr>
                        <w:t>bioéthique</w:t>
                      </w:r>
                      <w:proofErr w:type="spellEnd"/>
                      <w:r>
                        <w:rPr>
                          <w:rFonts w:ascii="Calibri" w:eastAsia="Times New Roman" w:hAnsi="Calibri" w:cs="Calibri"/>
                          <w:color w:val="000000"/>
                          <w:kern w:val="24"/>
                          <w:sz w:val="32"/>
                          <w:szCs w:val="32"/>
                          <w:lang w:val="en-US"/>
                        </w:rPr>
                        <w:t xml:space="preserve"> 32e conference </w:t>
                      </w:r>
                      <w:proofErr w:type="spellStart"/>
                      <w:r>
                        <w:rPr>
                          <w:rFonts w:ascii="Calibri" w:eastAsia="Times New Roman" w:hAnsi="Calibri" w:cs="Calibri"/>
                          <w:color w:val="000000"/>
                          <w:kern w:val="24"/>
                          <w:sz w:val="32"/>
                          <w:szCs w:val="32"/>
                          <w:lang w:val="en-US"/>
                        </w:rPr>
                        <w:t>virtuelle</w:t>
                      </w:r>
                      <w:proofErr w:type="spellEnd"/>
                      <w:r>
                        <w:rPr>
                          <w:rFonts w:ascii="Calibri" w:eastAsia="Times New Roman" w:hAnsi="Calibri" w:cs="Calibri"/>
                          <w:color w:val="000000"/>
                          <w:kern w:val="24"/>
                          <w:sz w:val="32"/>
                          <w:szCs w:val="32"/>
                          <w:lang w:val="en-US"/>
                        </w:rPr>
                        <w:t xml:space="preserve"> </w:t>
                      </w:r>
                      <w:proofErr w:type="spellStart"/>
                      <w:r>
                        <w:rPr>
                          <w:rFonts w:ascii="Calibri" w:eastAsia="Times New Roman" w:hAnsi="Calibri" w:cs="Calibri"/>
                          <w:color w:val="000000"/>
                          <w:kern w:val="24"/>
                          <w:sz w:val="32"/>
                          <w:szCs w:val="32"/>
                          <w:lang w:val="en-US"/>
                        </w:rPr>
                        <w:t>annuelle</w:t>
                      </w:r>
                      <w:proofErr w:type="spellEnd"/>
                    </w:p>
                    <w:p w14:paraId="046B15B5" w14:textId="77777777" w:rsidR="006045D2" w:rsidRDefault="006045D2" w:rsidP="006045D2">
                      <w:pPr>
                        <w:pStyle w:val="NormalWeb"/>
                        <w:kinsoku w:val="0"/>
                        <w:overflowPunct w:val="0"/>
                        <w:spacing w:before="0" w:beforeAutospacing="0" w:after="120" w:afterAutospacing="0"/>
                        <w:textAlignment w:val="baseline"/>
                      </w:pPr>
                      <w:r>
                        <w:rPr>
                          <w:rFonts w:ascii="Calibri" w:eastAsia="Times New Roman" w:hAnsi="Calibri" w:cs="Calibri"/>
                          <w:b/>
                          <w:bCs/>
                          <w:color w:val="000000"/>
                          <w:kern w:val="24"/>
                          <w:sz w:val="32"/>
                          <w:szCs w:val="32"/>
                          <w:lang w:val="en-US"/>
                        </w:rPr>
                        <w:t xml:space="preserve">26-28 </w:t>
                      </w:r>
                      <w:proofErr w:type="spellStart"/>
                      <w:r>
                        <w:rPr>
                          <w:rFonts w:ascii="Calibri" w:eastAsia="Times New Roman" w:hAnsi="Calibri" w:cs="Calibri"/>
                          <w:b/>
                          <w:bCs/>
                          <w:color w:val="000000"/>
                          <w:kern w:val="24"/>
                          <w:sz w:val="32"/>
                          <w:szCs w:val="32"/>
                          <w:lang w:val="en-US"/>
                        </w:rPr>
                        <w:t>mai</w:t>
                      </w:r>
                      <w:proofErr w:type="spellEnd"/>
                      <w:r>
                        <w:rPr>
                          <w:rFonts w:ascii="Calibri" w:eastAsia="Times New Roman" w:hAnsi="Calibri" w:cs="Calibri"/>
                          <w:b/>
                          <w:bCs/>
                          <w:color w:val="000000"/>
                          <w:kern w:val="24"/>
                          <w:sz w:val="32"/>
                          <w:szCs w:val="32"/>
                          <w:lang w:val="en-US"/>
                        </w:rPr>
                        <w:t xml:space="preserve"> 2021</w:t>
                      </w:r>
                    </w:p>
                    <w:p w14:paraId="1B2C737C" w14:textId="77777777" w:rsidR="006045D2" w:rsidRDefault="006045D2" w:rsidP="006045D2">
                      <w:pPr>
                        <w:pStyle w:val="NormalWeb"/>
                        <w:kinsoku w:val="0"/>
                        <w:overflowPunct w:val="0"/>
                        <w:spacing w:before="0" w:beforeAutospacing="0" w:after="120" w:afterAutospacing="0"/>
                        <w:textAlignment w:val="baseline"/>
                      </w:pPr>
                      <w:r>
                        <w:rPr>
                          <w:rFonts w:ascii="Calibri" w:eastAsia="Times New Roman" w:hAnsi="Calibri" w:cs="Calibri"/>
                          <w:color w:val="000000"/>
                          <w:kern w:val="24"/>
                          <w:sz w:val="32"/>
                          <w:szCs w:val="32"/>
                          <w:lang w:val="en-US"/>
                        </w:rPr>
                        <w:t xml:space="preserve">Ateliers </w:t>
                      </w:r>
                      <w:proofErr w:type="spellStart"/>
                      <w:r>
                        <w:rPr>
                          <w:rFonts w:ascii="Calibri" w:eastAsia="Times New Roman" w:hAnsi="Calibri" w:cs="Calibri"/>
                          <w:color w:val="000000"/>
                          <w:kern w:val="24"/>
                          <w:sz w:val="32"/>
                          <w:szCs w:val="32"/>
                          <w:lang w:val="en-US"/>
                        </w:rPr>
                        <w:t>pré</w:t>
                      </w:r>
                      <w:proofErr w:type="spellEnd"/>
                      <w:r>
                        <w:rPr>
                          <w:rFonts w:ascii="Calibri" w:eastAsia="Times New Roman" w:hAnsi="Calibri" w:cs="Calibri"/>
                          <w:color w:val="000000"/>
                          <w:kern w:val="24"/>
                          <w:sz w:val="32"/>
                          <w:szCs w:val="32"/>
                          <w:lang w:val="en-US"/>
                        </w:rPr>
                        <w:t xml:space="preserve">-conference – 25 </w:t>
                      </w:r>
                      <w:proofErr w:type="spellStart"/>
                      <w:r>
                        <w:rPr>
                          <w:rFonts w:ascii="Calibri" w:eastAsia="Times New Roman" w:hAnsi="Calibri" w:cs="Calibri"/>
                          <w:color w:val="000000"/>
                          <w:kern w:val="24"/>
                          <w:sz w:val="32"/>
                          <w:szCs w:val="32"/>
                          <w:lang w:val="en-US"/>
                        </w:rPr>
                        <w:t>mai</w:t>
                      </w:r>
                      <w:proofErr w:type="spellEnd"/>
                      <w:r>
                        <w:rPr>
                          <w:rFonts w:ascii="Calibri" w:eastAsia="Times New Roman" w:hAnsi="Calibri" w:cs="Calibri"/>
                          <w:color w:val="000000"/>
                          <w:kern w:val="24"/>
                          <w:sz w:val="32"/>
                          <w:szCs w:val="32"/>
                          <w:lang w:val="en-US"/>
                        </w:rPr>
                        <w:t xml:space="preserve"> 2021</w:t>
                      </w:r>
                    </w:p>
                  </w:txbxContent>
                </v:textbox>
              </v:shape>
            </w:pict>
          </mc:Fallback>
        </mc:AlternateContent>
      </w:r>
      <w:r w:rsidRPr="005924A0">
        <w:rPr>
          <w:rFonts w:eastAsia="Times New Roman" w:cstheme="minorHAnsi"/>
          <w:b/>
          <w:bCs/>
          <w:noProof/>
          <w:sz w:val="40"/>
          <w:szCs w:val="40"/>
        </w:rPr>
        <mc:AlternateContent>
          <mc:Choice Requires="wps">
            <w:drawing>
              <wp:anchor distT="0" distB="0" distL="114300" distR="114300" simplePos="0" relativeHeight="251660288" behindDoc="0" locked="0" layoutInCell="1" allowOverlap="1" wp14:anchorId="11BB702A" wp14:editId="5ECABCF8">
                <wp:simplePos x="0" y="0"/>
                <wp:positionH relativeFrom="page">
                  <wp:posOffset>-790946</wp:posOffset>
                </wp:positionH>
                <wp:positionV relativeFrom="paragraph">
                  <wp:posOffset>-116205</wp:posOffset>
                </wp:positionV>
                <wp:extent cx="8646160" cy="15875"/>
                <wp:effectExtent l="0" t="76200" r="59690" b="98425"/>
                <wp:wrapNone/>
                <wp:docPr id="11" name="Straight Connector 10"/>
                <wp:cNvGraphicFramePr/>
                <a:graphic xmlns:a="http://schemas.openxmlformats.org/drawingml/2006/main">
                  <a:graphicData uri="http://schemas.microsoft.com/office/word/2010/wordprocessingShape">
                    <wps:wsp>
                      <wps:cNvCnPr/>
                      <wps:spPr>
                        <a:xfrm flipV="1">
                          <a:off x="0" y="0"/>
                          <a:ext cx="8646160" cy="15875"/>
                        </a:xfrm>
                        <a:prstGeom prst="line">
                          <a:avLst/>
                        </a:prstGeom>
                        <a:ln w="171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BE545"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2.3pt,-9.15pt" to="61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" strokecolor="#4579b8 [3044]" strokeweight="13.5pt">
                <w10:wrap anchorx="page"/>
              </v:line>
            </w:pict>
          </mc:Fallback>
        </mc:AlternateContent>
      </w:r>
      <w:r w:rsidRPr="005924A0">
        <w:rPr>
          <w:rFonts w:eastAsia="Times New Roman" w:cstheme="minorHAnsi"/>
          <w:b/>
          <w:bCs/>
          <w:noProof/>
          <w:sz w:val="40"/>
          <w:szCs w:val="40"/>
        </w:rPr>
        <w:drawing>
          <wp:anchor distT="0" distB="0" distL="114300" distR="114300" simplePos="0" relativeHeight="251659264" behindDoc="0" locked="0" layoutInCell="1" allowOverlap="1" wp14:anchorId="22C05B66" wp14:editId="487F21B6">
            <wp:simplePos x="0" y="0"/>
            <wp:positionH relativeFrom="column">
              <wp:posOffset>-1285240</wp:posOffset>
            </wp:positionH>
            <wp:positionV relativeFrom="paragraph">
              <wp:posOffset>236236</wp:posOffset>
            </wp:positionV>
            <wp:extent cx="2076450" cy="2070100"/>
            <wp:effectExtent l="0" t="0" r="0" b="635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8">
                      <a:extLst>
                        <a:ext uri="{28A0092B-C50C-407E-A947-70E740481C1C}">
                          <a14:useLocalDpi xmlns:a14="http://schemas.microsoft.com/office/drawing/2010/main" val="0"/>
                        </a:ext>
                      </a:extLst>
                    </a:blip>
                    <a:srcRect l="-4593" t="946" r="37212" b="1346"/>
                    <a:stretch/>
                  </pic:blipFill>
                  <pic:spPr bwMode="auto">
                    <a:xfrm>
                      <a:off x="0" y="0"/>
                      <a:ext cx="2076450" cy="207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7F76BB" w14:textId="77777777" w:rsidR="006045D2" w:rsidRDefault="006045D2" w:rsidP="006045D2">
      <w:pPr>
        <w:spacing w:before="360" w:line="358" w:lineRule="exact"/>
        <w:ind w:right="-845"/>
        <w:jc w:val="center"/>
        <w:rPr>
          <w:rFonts w:eastAsia="Times New Roman" w:cstheme="minorHAnsi"/>
          <w:b/>
          <w:bCs/>
          <w:sz w:val="40"/>
          <w:szCs w:val="40"/>
        </w:rPr>
      </w:pPr>
    </w:p>
    <w:p w14:paraId="1CFA862E" w14:textId="77777777" w:rsidR="006045D2" w:rsidRDefault="006045D2" w:rsidP="006045D2">
      <w:pPr>
        <w:spacing w:before="360" w:line="358" w:lineRule="exact"/>
        <w:ind w:right="-845"/>
        <w:jc w:val="center"/>
        <w:rPr>
          <w:rFonts w:eastAsia="Times New Roman" w:cstheme="minorHAnsi"/>
          <w:b/>
          <w:bCs/>
          <w:sz w:val="40"/>
          <w:szCs w:val="40"/>
        </w:rPr>
      </w:pPr>
    </w:p>
    <w:p w14:paraId="51FA4690" w14:textId="77777777" w:rsidR="006045D2" w:rsidRDefault="006045D2" w:rsidP="006045D2">
      <w:pPr>
        <w:spacing w:before="360" w:line="358" w:lineRule="exact"/>
        <w:ind w:right="-845"/>
        <w:jc w:val="center"/>
        <w:rPr>
          <w:rFonts w:eastAsia="Times New Roman" w:cstheme="minorHAnsi"/>
          <w:b/>
          <w:bCs/>
          <w:sz w:val="40"/>
          <w:szCs w:val="40"/>
        </w:rPr>
      </w:pPr>
    </w:p>
    <w:p w14:paraId="0971D077" w14:textId="77777777" w:rsidR="006045D2" w:rsidRDefault="006045D2" w:rsidP="006045D2">
      <w:pPr>
        <w:spacing w:before="360" w:line="358" w:lineRule="exact"/>
        <w:ind w:right="4"/>
        <w:jc w:val="center"/>
        <w:rPr>
          <w:rFonts w:eastAsia="Times New Roman" w:cstheme="minorHAnsi"/>
          <w:b/>
          <w:bCs/>
          <w:sz w:val="40"/>
          <w:szCs w:val="40"/>
        </w:rPr>
      </w:pPr>
    </w:p>
    <w:p w14:paraId="6E572A03" w14:textId="77777777" w:rsidR="006045D2" w:rsidRPr="00D41920" w:rsidRDefault="006045D2" w:rsidP="006045D2">
      <w:pPr>
        <w:spacing w:line="240" w:lineRule="auto"/>
        <w:ind w:right="4"/>
        <w:jc w:val="center"/>
        <w:rPr>
          <w:b/>
          <w:bCs/>
          <w:color w:val="053376"/>
          <w:sz w:val="24"/>
          <w:szCs w:val="24"/>
        </w:rPr>
      </w:pPr>
      <w:r w:rsidRPr="005924A0">
        <w:rPr>
          <w:rFonts w:eastAsia="Times New Roman" w:cstheme="minorHAnsi"/>
          <w:b/>
          <w:bCs/>
          <w:noProof/>
          <w:sz w:val="40"/>
          <w:szCs w:val="40"/>
        </w:rPr>
        <mc:AlternateContent>
          <mc:Choice Requires="wps">
            <w:drawing>
              <wp:anchor distT="0" distB="0" distL="114300" distR="114300" simplePos="0" relativeHeight="251661312" behindDoc="0" locked="0" layoutInCell="1" allowOverlap="1" wp14:anchorId="503D0BCC" wp14:editId="50FA724A">
                <wp:simplePos x="0" y="0"/>
                <wp:positionH relativeFrom="column">
                  <wp:posOffset>-1566801</wp:posOffset>
                </wp:positionH>
                <wp:positionV relativeFrom="paragraph">
                  <wp:posOffset>341968</wp:posOffset>
                </wp:positionV>
                <wp:extent cx="8646414" cy="15876"/>
                <wp:effectExtent l="0" t="76200" r="59690" b="98425"/>
                <wp:wrapNone/>
                <wp:docPr id="9" name="Straight Connector 10"/>
                <wp:cNvGraphicFramePr/>
                <a:graphic xmlns:a="http://schemas.openxmlformats.org/drawingml/2006/main">
                  <a:graphicData uri="http://schemas.microsoft.com/office/word/2010/wordprocessingShape">
                    <wps:wsp>
                      <wps:cNvCnPr/>
                      <wps:spPr>
                        <a:xfrm flipV="1">
                          <a:off x="0" y="0"/>
                          <a:ext cx="8646414" cy="15876"/>
                        </a:xfrm>
                        <a:prstGeom prst="line">
                          <a:avLst/>
                        </a:prstGeom>
                        <a:ln w="171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55926"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26.95pt" to="557.4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" strokecolor="#4579b8 [3044]" strokeweight="13.5pt"/>
            </w:pict>
          </mc:Fallback>
        </mc:AlternateContent>
      </w:r>
    </w:p>
    <w:p w14:paraId="20F3AB8E" w14:textId="77777777" w:rsidR="006045D2" w:rsidRDefault="006045D2" w:rsidP="006045D2">
      <w:pPr>
        <w:spacing w:line="240" w:lineRule="auto"/>
        <w:ind w:right="4"/>
        <w:jc w:val="center"/>
        <w:rPr>
          <w:b/>
          <w:bCs/>
          <w:color w:val="053376"/>
          <w:sz w:val="32"/>
          <w:szCs w:val="32"/>
        </w:rPr>
      </w:pPr>
    </w:p>
    <w:p w14:paraId="3F0920CE" w14:textId="77777777" w:rsidR="006045D2" w:rsidRDefault="006045D2" w:rsidP="006045D2">
      <w:pPr>
        <w:spacing w:line="240" w:lineRule="auto"/>
        <w:ind w:right="4"/>
        <w:rPr>
          <w:b/>
          <w:bCs/>
          <w:color w:val="053376"/>
          <w:sz w:val="32"/>
          <w:szCs w:val="32"/>
        </w:rPr>
      </w:pPr>
    </w:p>
    <w:p w14:paraId="0C06387D" w14:textId="77777777" w:rsidR="00F85EC4" w:rsidRPr="006045D2" w:rsidRDefault="00F85EC4" w:rsidP="00F85EC4">
      <w:pPr>
        <w:shd w:val="clear" w:color="auto" w:fill="FFFFFF"/>
        <w:spacing w:after="120" w:line="240" w:lineRule="auto"/>
        <w:jc w:val="center"/>
        <w:rPr>
          <w:i/>
          <w:sz w:val="56"/>
          <w:szCs w:val="56"/>
          <w:lang w:val="fr-CA"/>
        </w:rPr>
      </w:pPr>
      <w:r w:rsidRPr="006045D2">
        <w:rPr>
          <w:i/>
          <w:sz w:val="56"/>
          <w:szCs w:val="56"/>
          <w:lang w:val="fr-CA"/>
        </w:rPr>
        <w:t>Appel de résumés</w:t>
      </w:r>
    </w:p>
    <w:p w14:paraId="7F74E614" w14:textId="56BFB04A" w:rsidR="009D3889" w:rsidRDefault="00D44FF7" w:rsidP="006045D2">
      <w:pPr>
        <w:shd w:val="clear" w:color="auto" w:fill="FFFFFF"/>
        <w:spacing w:before="240" w:after="120" w:line="240" w:lineRule="auto"/>
        <w:jc w:val="center"/>
        <w:rPr>
          <w:i/>
          <w:sz w:val="26"/>
          <w:szCs w:val="26"/>
          <w:lang w:val="fr-CA"/>
        </w:rPr>
      </w:pPr>
      <w:r w:rsidRPr="006045D2">
        <w:rPr>
          <w:i/>
          <w:sz w:val="32"/>
          <w:szCs w:val="32"/>
          <w:lang w:val="fr-CA"/>
        </w:rPr>
        <w:t>La d</w:t>
      </w:r>
      <w:r w:rsidR="00D301B4" w:rsidRPr="006045D2">
        <w:rPr>
          <w:i/>
          <w:sz w:val="32"/>
          <w:szCs w:val="32"/>
          <w:lang w:val="fr-CA"/>
        </w:rPr>
        <w:t xml:space="preserve">ate limite de soumission des résumés </w:t>
      </w:r>
      <w:r w:rsidR="00C76AD2" w:rsidRPr="006045D2">
        <w:rPr>
          <w:i/>
          <w:sz w:val="32"/>
          <w:szCs w:val="32"/>
          <w:lang w:val="fr-CA"/>
        </w:rPr>
        <w:t xml:space="preserve">est le </w:t>
      </w:r>
      <w:r w:rsidR="006045D2" w:rsidRPr="006045D2">
        <w:rPr>
          <w:i/>
          <w:sz w:val="32"/>
          <w:szCs w:val="32"/>
          <w:lang w:val="fr-CA"/>
        </w:rPr>
        <w:t>7 mars</w:t>
      </w:r>
      <w:r w:rsidR="00D301B4" w:rsidRPr="006045D2">
        <w:rPr>
          <w:i/>
          <w:sz w:val="32"/>
          <w:szCs w:val="32"/>
          <w:lang w:val="fr-CA"/>
        </w:rPr>
        <w:t xml:space="preserve"> 2021 </w:t>
      </w:r>
      <w:hyperlink r:id="rId9" w:history="1">
        <w:r w:rsidR="009D3889" w:rsidRPr="009D3889">
          <w:rPr>
            <w:rStyle w:val="Hyperlink"/>
            <w:i/>
            <w:sz w:val="26"/>
            <w:szCs w:val="26"/>
            <w:lang w:val="fr-CA"/>
          </w:rPr>
          <w:t>https://www.events.f2fe.com/cbs2020/abstract/index.cfm?ID=1EBRUly</w:t>
        </w:r>
      </w:hyperlink>
      <w:r w:rsidR="009D3889" w:rsidRPr="009D3889">
        <w:rPr>
          <w:i/>
          <w:sz w:val="26"/>
          <w:szCs w:val="26"/>
          <w:lang w:val="fr-CA"/>
        </w:rPr>
        <w:t xml:space="preserve"> </w:t>
      </w:r>
    </w:p>
    <w:p w14:paraId="7825A3FA" w14:textId="77777777" w:rsidR="00D301B4" w:rsidRPr="00D301B4" w:rsidRDefault="00D301B4" w:rsidP="00D301B4">
      <w:pPr>
        <w:shd w:val="clear" w:color="auto" w:fill="FFFFFF"/>
        <w:spacing w:after="120" w:line="240" w:lineRule="auto"/>
        <w:jc w:val="center"/>
        <w:rPr>
          <w:i/>
          <w:sz w:val="14"/>
          <w:szCs w:val="14"/>
          <w:lang w:val="fr-CA"/>
        </w:rPr>
      </w:pPr>
    </w:p>
    <w:p w14:paraId="7D3C6D22" w14:textId="24AAA79A" w:rsidR="003C6E78" w:rsidRPr="009D5809" w:rsidRDefault="00874DFC">
      <w:pPr>
        <w:spacing w:before="240" w:after="200"/>
        <w:rPr>
          <w:sz w:val="24"/>
          <w:szCs w:val="24"/>
          <w:lang w:val="fr-CA"/>
        </w:rPr>
      </w:pPr>
      <w:r>
        <w:rPr>
          <w:sz w:val="24"/>
          <w:szCs w:val="24"/>
          <w:lang w:val="fr-CA"/>
        </w:rPr>
        <w:t xml:space="preserve">Suite aux commentaires </w:t>
      </w:r>
      <w:r w:rsidR="0071645A">
        <w:rPr>
          <w:sz w:val="24"/>
          <w:szCs w:val="24"/>
          <w:lang w:val="fr-CA"/>
        </w:rPr>
        <w:t xml:space="preserve">provenant </w:t>
      </w:r>
      <w:r>
        <w:rPr>
          <w:sz w:val="24"/>
          <w:szCs w:val="24"/>
          <w:lang w:val="fr-CA"/>
        </w:rPr>
        <w:t xml:space="preserve">des membres de la SCB et </w:t>
      </w:r>
      <w:r w:rsidR="0071645A">
        <w:rPr>
          <w:sz w:val="24"/>
          <w:szCs w:val="24"/>
          <w:lang w:val="fr-CA"/>
        </w:rPr>
        <w:t xml:space="preserve">des </w:t>
      </w:r>
      <w:r>
        <w:rPr>
          <w:sz w:val="24"/>
          <w:szCs w:val="24"/>
          <w:lang w:val="fr-CA"/>
        </w:rPr>
        <w:t xml:space="preserve">autres personnes qui ont répondu aux questions du sondage relativement à la </w:t>
      </w:r>
      <w:r w:rsidR="0068058A">
        <w:rPr>
          <w:sz w:val="24"/>
          <w:szCs w:val="24"/>
          <w:lang w:val="fr-CA"/>
        </w:rPr>
        <w:t>c</w:t>
      </w:r>
      <w:r>
        <w:rPr>
          <w:sz w:val="24"/>
          <w:szCs w:val="24"/>
          <w:lang w:val="fr-CA"/>
        </w:rPr>
        <w:t xml:space="preserve">onférence, il nous fait plaisir d’annoncer que le thème de la </w:t>
      </w:r>
      <w:r w:rsidR="0068058A">
        <w:rPr>
          <w:sz w:val="24"/>
          <w:szCs w:val="24"/>
          <w:lang w:val="fr-CA"/>
        </w:rPr>
        <w:t>c</w:t>
      </w:r>
      <w:r>
        <w:rPr>
          <w:sz w:val="24"/>
          <w:szCs w:val="24"/>
          <w:lang w:val="fr-CA"/>
        </w:rPr>
        <w:t>onférence 2021 de la Société canadienne de bioéthique</w:t>
      </w:r>
      <w:r w:rsidR="006D4FA6">
        <w:rPr>
          <w:sz w:val="24"/>
          <w:szCs w:val="24"/>
          <w:lang w:val="fr-CA"/>
        </w:rPr>
        <w:t xml:space="preserve"> sera « Derrière le masque » : considérations éthiques soulevées par la Covid-19</w:t>
      </w:r>
      <w:r w:rsidR="0071645A">
        <w:rPr>
          <w:sz w:val="24"/>
          <w:szCs w:val="24"/>
          <w:lang w:val="fr-CA"/>
        </w:rPr>
        <w:t>,</w:t>
      </w:r>
      <w:r w:rsidR="006D4FA6">
        <w:rPr>
          <w:sz w:val="24"/>
          <w:szCs w:val="24"/>
          <w:lang w:val="fr-CA"/>
        </w:rPr>
        <w:t xml:space="preserve"> au Canada et ailleurs ».  </w:t>
      </w:r>
    </w:p>
    <w:p w14:paraId="1233ADBC" w14:textId="75B4595E" w:rsidR="003C6E78" w:rsidRPr="009D5809" w:rsidRDefault="00297EFE">
      <w:pPr>
        <w:spacing w:before="240" w:after="200"/>
        <w:rPr>
          <w:sz w:val="24"/>
          <w:szCs w:val="24"/>
          <w:lang w:val="fr-CA"/>
        </w:rPr>
      </w:pPr>
      <w:r>
        <w:rPr>
          <w:sz w:val="24"/>
          <w:szCs w:val="24"/>
          <w:lang w:val="fr-CA"/>
        </w:rPr>
        <w:t>L’évènement virtuel se tiendra du 26 au 28 mai, avec un horaire quotidien qui permet</w:t>
      </w:r>
      <w:r w:rsidR="00451DA2">
        <w:rPr>
          <w:sz w:val="24"/>
          <w:szCs w:val="24"/>
          <w:lang w:val="fr-CA"/>
        </w:rPr>
        <w:t xml:space="preserve">tra à toutes les parties du Canada de participer pendant des heures locales raisonnablement réparties.  </w:t>
      </w:r>
    </w:p>
    <w:p w14:paraId="639CCCDA" w14:textId="49BE7218" w:rsidR="003C6E78" w:rsidRPr="009D5809" w:rsidRDefault="00451DA2">
      <w:pPr>
        <w:spacing w:before="240" w:after="200"/>
        <w:rPr>
          <w:sz w:val="24"/>
          <w:szCs w:val="24"/>
          <w:lang w:val="fr-CA"/>
        </w:rPr>
      </w:pPr>
      <w:r>
        <w:rPr>
          <w:sz w:val="24"/>
          <w:szCs w:val="24"/>
          <w:lang w:val="fr-CA"/>
        </w:rPr>
        <w:t xml:space="preserve">Le thème vise à saisir les considérations et </w:t>
      </w:r>
      <w:r w:rsidR="00D26CF5">
        <w:rPr>
          <w:sz w:val="24"/>
          <w:szCs w:val="24"/>
          <w:lang w:val="fr-CA"/>
        </w:rPr>
        <w:t xml:space="preserve">les </w:t>
      </w:r>
      <w:r>
        <w:rPr>
          <w:sz w:val="24"/>
          <w:szCs w:val="24"/>
          <w:lang w:val="fr-CA"/>
        </w:rPr>
        <w:t xml:space="preserve">préoccupations crées et aggravées par la pandémie.  Il pourrait notamment s’agir des causes premières des </w:t>
      </w:r>
      <w:r w:rsidR="00260CF6">
        <w:rPr>
          <w:sz w:val="24"/>
          <w:szCs w:val="24"/>
          <w:lang w:val="fr-CA"/>
        </w:rPr>
        <w:t>ini</w:t>
      </w:r>
      <w:r>
        <w:rPr>
          <w:sz w:val="24"/>
          <w:szCs w:val="24"/>
          <w:lang w:val="fr-CA"/>
        </w:rPr>
        <w:t xml:space="preserve">quités sociales </w:t>
      </w:r>
      <w:r w:rsidR="00260CF6">
        <w:rPr>
          <w:sz w:val="24"/>
          <w:szCs w:val="24"/>
          <w:lang w:val="fr-CA"/>
        </w:rPr>
        <w:t xml:space="preserve">et </w:t>
      </w:r>
      <w:r w:rsidR="00D26CF5">
        <w:rPr>
          <w:sz w:val="24"/>
          <w:szCs w:val="24"/>
          <w:lang w:val="fr-CA"/>
        </w:rPr>
        <w:t>des inégalités en matière de soins</w:t>
      </w:r>
      <w:r w:rsidR="00260CF6">
        <w:rPr>
          <w:sz w:val="24"/>
          <w:szCs w:val="24"/>
          <w:lang w:val="fr-CA"/>
        </w:rPr>
        <w:t xml:space="preserve"> santé</w:t>
      </w:r>
      <w:r w:rsidR="0071645A">
        <w:rPr>
          <w:sz w:val="24"/>
          <w:szCs w:val="24"/>
          <w:lang w:val="fr-CA"/>
        </w:rPr>
        <w:t>,</w:t>
      </w:r>
      <w:r w:rsidR="00260CF6">
        <w:rPr>
          <w:sz w:val="24"/>
          <w:szCs w:val="24"/>
          <w:lang w:val="fr-CA"/>
        </w:rPr>
        <w:t xml:space="preserve"> qui perpétuent le racisme et l’oppression, des réactions du gouvernement face à la pandémie </w:t>
      </w:r>
      <w:r w:rsidR="00D26CF5">
        <w:rPr>
          <w:sz w:val="24"/>
          <w:szCs w:val="24"/>
          <w:lang w:val="fr-CA"/>
        </w:rPr>
        <w:t>ou</w:t>
      </w:r>
      <w:r w:rsidR="00260CF6">
        <w:rPr>
          <w:sz w:val="24"/>
          <w:szCs w:val="24"/>
          <w:lang w:val="fr-CA"/>
        </w:rPr>
        <w:t xml:space="preserve"> des questions propres au domaine même de la bioéthique.  </w:t>
      </w:r>
    </w:p>
    <w:p w14:paraId="116BB2F2" w14:textId="6CF71BEC" w:rsidR="003C6E78" w:rsidRDefault="00663985">
      <w:pPr>
        <w:spacing w:before="240" w:after="200"/>
        <w:rPr>
          <w:sz w:val="24"/>
          <w:szCs w:val="24"/>
          <w:lang w:val="fr-CA"/>
        </w:rPr>
      </w:pPr>
      <w:r>
        <w:rPr>
          <w:sz w:val="24"/>
          <w:szCs w:val="24"/>
          <w:lang w:val="fr-CA"/>
        </w:rPr>
        <w:t xml:space="preserve">Nous invitons les </w:t>
      </w:r>
      <w:r w:rsidR="003A7D72">
        <w:rPr>
          <w:sz w:val="24"/>
          <w:szCs w:val="24"/>
          <w:lang w:val="fr-CA"/>
        </w:rPr>
        <w:t>présentations</w:t>
      </w:r>
      <w:r>
        <w:rPr>
          <w:sz w:val="24"/>
          <w:szCs w:val="24"/>
          <w:lang w:val="fr-CA"/>
        </w:rPr>
        <w:t xml:space="preserve"> ciblant un large éventail de sujets, soit au niveau local ou global, individuel ou au niveau des populations, du point de vue théorique ou pratique et de la pratique à la politique et inversement.  Nous appuyons également les discussions centrées sur les prochaines étapes à prendre concernant la bioéthique </w:t>
      </w:r>
      <w:r w:rsidR="007279CC">
        <w:rPr>
          <w:sz w:val="24"/>
          <w:szCs w:val="24"/>
          <w:lang w:val="fr-CA"/>
        </w:rPr>
        <w:t xml:space="preserve">relativement aux domaines d’études, à la recherche et aux enquêtes ainsi qu’aux pratiques.  </w:t>
      </w:r>
    </w:p>
    <w:p w14:paraId="5EF715C8" w14:textId="77777777" w:rsidR="00413383" w:rsidRDefault="00413383">
      <w:pPr>
        <w:spacing w:before="240" w:after="200"/>
        <w:rPr>
          <w:sz w:val="24"/>
          <w:szCs w:val="24"/>
          <w:lang w:val="fr-CA"/>
        </w:rPr>
      </w:pPr>
    </w:p>
    <w:p w14:paraId="29A12247" w14:textId="77777777" w:rsidR="006045D2" w:rsidRPr="009D5809" w:rsidRDefault="006045D2">
      <w:pPr>
        <w:spacing w:before="240" w:after="200"/>
        <w:rPr>
          <w:sz w:val="24"/>
          <w:szCs w:val="24"/>
          <w:lang w:val="fr-CA"/>
        </w:rPr>
      </w:pPr>
    </w:p>
    <w:p w14:paraId="6BBCA908" w14:textId="386D4399" w:rsidR="003C6E78" w:rsidRPr="009D5809" w:rsidRDefault="0071645A" w:rsidP="009D3889">
      <w:pPr>
        <w:shd w:val="clear" w:color="auto" w:fill="FFFFFF"/>
        <w:spacing w:before="120" w:after="120" w:line="240" w:lineRule="auto"/>
        <w:rPr>
          <w:b/>
          <w:sz w:val="24"/>
          <w:szCs w:val="24"/>
          <w:lang w:val="fr-CA"/>
        </w:rPr>
      </w:pPr>
      <w:r>
        <w:rPr>
          <w:b/>
          <w:sz w:val="24"/>
          <w:szCs w:val="24"/>
          <w:lang w:val="fr-CA"/>
        </w:rPr>
        <w:lastRenderedPageBreak/>
        <w:t>L</w:t>
      </w:r>
      <w:r w:rsidR="007279CC">
        <w:rPr>
          <w:b/>
          <w:sz w:val="24"/>
          <w:szCs w:val="24"/>
          <w:lang w:val="fr-CA"/>
        </w:rPr>
        <w:t>es sujets suivants peuvent être explorés</w:t>
      </w:r>
      <w:r>
        <w:rPr>
          <w:b/>
          <w:sz w:val="24"/>
          <w:szCs w:val="24"/>
          <w:lang w:val="fr-CA"/>
        </w:rPr>
        <w:t xml:space="preserve"> dans le cadre du thème général</w:t>
      </w:r>
      <w:r w:rsidR="007279CC">
        <w:rPr>
          <w:b/>
          <w:sz w:val="24"/>
          <w:szCs w:val="24"/>
          <w:lang w:val="fr-CA"/>
        </w:rPr>
        <w:t> :</w:t>
      </w:r>
    </w:p>
    <w:p w14:paraId="3FAD7DCF" w14:textId="2539E96B" w:rsidR="003C6E78" w:rsidRPr="009D5809" w:rsidRDefault="007279CC" w:rsidP="009D3889">
      <w:pPr>
        <w:numPr>
          <w:ilvl w:val="0"/>
          <w:numId w:val="7"/>
        </w:numPr>
        <w:shd w:val="clear" w:color="auto" w:fill="FFFFFF"/>
        <w:spacing w:before="120" w:line="240" w:lineRule="auto"/>
        <w:ind w:left="714" w:hanging="357"/>
        <w:rPr>
          <w:sz w:val="24"/>
          <w:szCs w:val="24"/>
          <w:lang w:val="fr-CA"/>
        </w:rPr>
      </w:pPr>
      <w:r>
        <w:rPr>
          <w:sz w:val="24"/>
          <w:szCs w:val="24"/>
          <w:lang w:val="fr-CA"/>
        </w:rPr>
        <w:t xml:space="preserve">Injustices à caractère racial et leurs manifestations dans le contexte de la santé et de soins médicaux, qui persistent en raison de racisme systématique et d’oppression structurelle et les préjugés implicites qui persistent et qui entraînent la discrimination et </w:t>
      </w:r>
      <w:r w:rsidR="00E75BC4">
        <w:rPr>
          <w:sz w:val="24"/>
          <w:szCs w:val="24"/>
          <w:lang w:val="fr-CA"/>
        </w:rPr>
        <w:t>les préju</w:t>
      </w:r>
      <w:r w:rsidR="00237F7F">
        <w:rPr>
          <w:sz w:val="24"/>
          <w:szCs w:val="24"/>
          <w:lang w:val="fr-CA"/>
        </w:rPr>
        <w:t>gé</w:t>
      </w:r>
      <w:r w:rsidR="00E75BC4">
        <w:rPr>
          <w:sz w:val="24"/>
          <w:szCs w:val="24"/>
          <w:lang w:val="fr-CA"/>
        </w:rPr>
        <w:t xml:space="preserve">s.  </w:t>
      </w:r>
    </w:p>
    <w:p w14:paraId="7DC0493C" w14:textId="16495B2E" w:rsidR="003C6E78" w:rsidRPr="009D5809" w:rsidRDefault="00E75BC4">
      <w:pPr>
        <w:numPr>
          <w:ilvl w:val="0"/>
          <w:numId w:val="7"/>
        </w:numPr>
        <w:rPr>
          <w:sz w:val="24"/>
          <w:szCs w:val="24"/>
          <w:lang w:val="fr-CA"/>
        </w:rPr>
      </w:pPr>
      <w:r>
        <w:rPr>
          <w:sz w:val="24"/>
          <w:szCs w:val="24"/>
          <w:lang w:val="fr-CA"/>
        </w:rPr>
        <w:t>Les incidences disproportionnées du coronavirus sur les communautés et les groupes et les politiques et pratiques entreprises à l’égard de ces incidences.</w:t>
      </w:r>
    </w:p>
    <w:p w14:paraId="54C6773C" w14:textId="3CDB3BEA" w:rsidR="003C6E78" w:rsidRPr="009D5809" w:rsidRDefault="00FC37F6">
      <w:pPr>
        <w:numPr>
          <w:ilvl w:val="0"/>
          <w:numId w:val="7"/>
        </w:numPr>
        <w:rPr>
          <w:sz w:val="24"/>
          <w:szCs w:val="24"/>
          <w:lang w:val="fr-CA"/>
        </w:rPr>
      </w:pPr>
      <w:r>
        <w:rPr>
          <w:sz w:val="24"/>
          <w:szCs w:val="24"/>
          <w:lang w:val="fr-CA"/>
        </w:rPr>
        <w:t xml:space="preserve">Les lacunes de la réponse du </w:t>
      </w:r>
      <w:r w:rsidR="00711C77">
        <w:rPr>
          <w:sz w:val="24"/>
          <w:szCs w:val="24"/>
          <w:lang w:val="fr-CA"/>
        </w:rPr>
        <w:t xml:space="preserve">secteur </w:t>
      </w:r>
      <w:r>
        <w:rPr>
          <w:sz w:val="24"/>
          <w:szCs w:val="24"/>
          <w:lang w:val="fr-CA"/>
        </w:rPr>
        <w:t>de la bioéthique, à la fois historique</w:t>
      </w:r>
      <w:r w:rsidR="0071645A">
        <w:rPr>
          <w:sz w:val="24"/>
          <w:szCs w:val="24"/>
          <w:lang w:val="fr-CA"/>
        </w:rPr>
        <w:t>s</w:t>
      </w:r>
      <w:r>
        <w:rPr>
          <w:sz w:val="24"/>
          <w:szCs w:val="24"/>
          <w:lang w:val="fr-CA"/>
        </w:rPr>
        <w:t xml:space="preserve"> et actuelle</w:t>
      </w:r>
      <w:r w:rsidR="0071645A">
        <w:rPr>
          <w:sz w:val="24"/>
          <w:szCs w:val="24"/>
          <w:lang w:val="fr-CA"/>
        </w:rPr>
        <w:t>s</w:t>
      </w:r>
      <w:r>
        <w:rPr>
          <w:sz w:val="24"/>
          <w:szCs w:val="24"/>
          <w:lang w:val="fr-CA"/>
        </w:rPr>
        <w:t>, en matière d’accès équitable aux soins de santé pour tous.</w:t>
      </w:r>
    </w:p>
    <w:p w14:paraId="5CD91D20" w14:textId="1BE91209" w:rsidR="003C6E78" w:rsidRPr="009D5809" w:rsidRDefault="00FC37F6">
      <w:pPr>
        <w:numPr>
          <w:ilvl w:val="0"/>
          <w:numId w:val="7"/>
        </w:numPr>
        <w:rPr>
          <w:lang w:val="fr-CA"/>
        </w:rPr>
      </w:pPr>
      <w:r>
        <w:rPr>
          <w:sz w:val="24"/>
          <w:szCs w:val="24"/>
          <w:lang w:val="fr-CA"/>
        </w:rPr>
        <w:t>La nécessité d’un effort soutenu visant à traiter les questions d’équité qui retiennent enfin l’attention en raison de la pandémie.</w:t>
      </w:r>
    </w:p>
    <w:p w14:paraId="103F36C9" w14:textId="4D23828D" w:rsidR="003C6E78" w:rsidRPr="009D5809" w:rsidRDefault="00FC37F6">
      <w:pPr>
        <w:numPr>
          <w:ilvl w:val="0"/>
          <w:numId w:val="7"/>
        </w:numPr>
        <w:spacing w:after="240"/>
        <w:rPr>
          <w:lang w:val="fr-CA"/>
        </w:rPr>
      </w:pPr>
      <w:r>
        <w:rPr>
          <w:sz w:val="24"/>
          <w:szCs w:val="24"/>
          <w:lang w:val="fr-CA"/>
        </w:rPr>
        <w:t>Les enjeux de bioéthique en lien avec la COVID-19 et les réponses provoquées (par exemple : données et I.A., établissement des priorités, politique en matière de santé, recherche, nouvelles technologies, médias sociaux).</w:t>
      </w:r>
    </w:p>
    <w:p w14:paraId="64256E8C" w14:textId="3FC060C4" w:rsidR="003C6E78" w:rsidRPr="009D5809" w:rsidRDefault="00FC37F6">
      <w:pPr>
        <w:shd w:val="clear" w:color="auto" w:fill="FFFFFF"/>
        <w:spacing w:before="240" w:after="200"/>
        <w:rPr>
          <w:b/>
          <w:sz w:val="24"/>
          <w:szCs w:val="24"/>
          <w:lang w:val="fr-CA"/>
        </w:rPr>
      </w:pPr>
      <w:r>
        <w:rPr>
          <w:b/>
          <w:sz w:val="24"/>
          <w:szCs w:val="24"/>
          <w:lang w:val="fr-CA"/>
        </w:rPr>
        <w:t xml:space="preserve">Qui devrait participer à la </w:t>
      </w:r>
      <w:r w:rsidR="0068058A">
        <w:rPr>
          <w:b/>
          <w:sz w:val="24"/>
          <w:szCs w:val="24"/>
          <w:lang w:val="fr-CA"/>
        </w:rPr>
        <w:t>c</w:t>
      </w:r>
      <w:r>
        <w:rPr>
          <w:b/>
          <w:sz w:val="24"/>
          <w:szCs w:val="24"/>
          <w:lang w:val="fr-CA"/>
        </w:rPr>
        <w:t>onférence</w:t>
      </w:r>
    </w:p>
    <w:p w14:paraId="0B0ECD2D" w14:textId="2739278C" w:rsidR="003C6E78" w:rsidRPr="009D5809" w:rsidRDefault="0068058A">
      <w:pPr>
        <w:shd w:val="clear" w:color="auto" w:fill="FFFFFF"/>
        <w:spacing w:before="240" w:after="200"/>
        <w:rPr>
          <w:sz w:val="24"/>
          <w:szCs w:val="24"/>
          <w:lang w:val="fr-CA"/>
        </w:rPr>
      </w:pPr>
      <w:r>
        <w:rPr>
          <w:sz w:val="24"/>
          <w:szCs w:val="24"/>
          <w:lang w:val="fr-CA"/>
        </w:rPr>
        <w:t>La</w:t>
      </w:r>
      <w:r w:rsidR="0022574F">
        <w:rPr>
          <w:sz w:val="24"/>
          <w:szCs w:val="24"/>
          <w:lang w:val="fr-CA"/>
        </w:rPr>
        <w:t xml:space="preserve"> </w:t>
      </w:r>
      <w:r>
        <w:rPr>
          <w:sz w:val="24"/>
          <w:szCs w:val="24"/>
          <w:lang w:val="fr-CA"/>
        </w:rPr>
        <w:t>c</w:t>
      </w:r>
      <w:r w:rsidR="0022574F">
        <w:rPr>
          <w:sz w:val="24"/>
          <w:szCs w:val="24"/>
          <w:lang w:val="fr-CA"/>
        </w:rPr>
        <w:t xml:space="preserve">onférence ne sera un succès que si nous engageons des échanges conversationnels et collaborons avec les bioéthiciens, les chercheurs, les experts en la matière, les groupes anti-oppression et anti-racisme et tous ceux et celles touchés par les </w:t>
      </w:r>
      <w:r w:rsidR="004756F1">
        <w:rPr>
          <w:sz w:val="24"/>
          <w:szCs w:val="24"/>
          <w:lang w:val="fr-CA"/>
        </w:rPr>
        <w:t>groupes</w:t>
      </w:r>
      <w:r w:rsidR="0022574F">
        <w:rPr>
          <w:sz w:val="24"/>
          <w:szCs w:val="24"/>
          <w:lang w:val="fr-CA"/>
        </w:rPr>
        <w:t xml:space="preserve"> précités ou qui influent les activités des </w:t>
      </w:r>
      <w:r w:rsidR="004756F1">
        <w:rPr>
          <w:sz w:val="24"/>
          <w:szCs w:val="24"/>
          <w:lang w:val="fr-CA"/>
        </w:rPr>
        <w:t xml:space="preserve">groupes précités.  À titre de Comité local d’organisation pour la SCB 2021, nous désirons convier tous les consommateurs de soins de santé, ceux et celles touchés par l’oppression structurelle et ceux et celles associés aux critères d’éthique de soins de santé, à participer à la </w:t>
      </w:r>
      <w:r>
        <w:rPr>
          <w:sz w:val="24"/>
          <w:szCs w:val="24"/>
          <w:lang w:val="fr-CA"/>
        </w:rPr>
        <w:t>c</w:t>
      </w:r>
      <w:r w:rsidR="004756F1">
        <w:rPr>
          <w:sz w:val="24"/>
          <w:szCs w:val="24"/>
          <w:lang w:val="fr-CA"/>
        </w:rPr>
        <w:t xml:space="preserve">onférence et </w:t>
      </w:r>
      <w:r w:rsidR="0071645A">
        <w:rPr>
          <w:sz w:val="24"/>
          <w:szCs w:val="24"/>
          <w:lang w:val="fr-CA"/>
        </w:rPr>
        <w:t>à</w:t>
      </w:r>
      <w:r w:rsidR="004756F1">
        <w:rPr>
          <w:sz w:val="24"/>
          <w:szCs w:val="24"/>
          <w:lang w:val="fr-CA"/>
        </w:rPr>
        <w:t xml:space="preserve"> partager un lieu propice à un échange respectueux et </w:t>
      </w:r>
      <w:r w:rsidR="0071645A">
        <w:rPr>
          <w:sz w:val="24"/>
          <w:szCs w:val="24"/>
          <w:lang w:val="fr-CA"/>
        </w:rPr>
        <w:t xml:space="preserve">favorable </w:t>
      </w:r>
      <w:r w:rsidR="004756F1">
        <w:rPr>
          <w:sz w:val="24"/>
          <w:szCs w:val="24"/>
          <w:lang w:val="fr-CA"/>
        </w:rPr>
        <w:t xml:space="preserve">à l’apprentissage.  </w:t>
      </w:r>
    </w:p>
    <w:p w14:paraId="31C08FAE" w14:textId="77777777" w:rsidR="004756F1" w:rsidRPr="004756F1" w:rsidRDefault="004756F1" w:rsidP="004756F1">
      <w:pPr>
        <w:pStyle w:val="Heading1"/>
        <w:ind w:left="10"/>
        <w:rPr>
          <w:b/>
          <w:bCs/>
          <w:sz w:val="24"/>
          <w:szCs w:val="24"/>
          <w:lang w:val="fr-CA"/>
        </w:rPr>
      </w:pPr>
      <w:r w:rsidRPr="004756F1">
        <w:rPr>
          <w:b/>
          <w:bCs/>
          <w:sz w:val="24"/>
          <w:szCs w:val="24"/>
          <w:lang w:val="fr-CA"/>
        </w:rPr>
        <w:t xml:space="preserve">Formats de présentation </w:t>
      </w:r>
    </w:p>
    <w:p w14:paraId="61B880CF" w14:textId="061469EE" w:rsidR="003C6E78" w:rsidRPr="0071645A" w:rsidRDefault="004756F1" w:rsidP="004756F1">
      <w:pPr>
        <w:spacing w:after="1" w:line="243" w:lineRule="auto"/>
        <w:ind w:left="-15" w:right="350"/>
        <w:jc w:val="both"/>
        <w:rPr>
          <w:sz w:val="24"/>
          <w:szCs w:val="24"/>
          <w:lang w:val="fr-CA"/>
        </w:rPr>
      </w:pPr>
      <w:r w:rsidRPr="0071645A">
        <w:rPr>
          <w:sz w:val="24"/>
          <w:szCs w:val="24"/>
          <w:lang w:val="fr-CA"/>
        </w:rPr>
        <w:t>Veuillez étudier les formats de présentation ci-dessous afin de décider lequel vous convient le mieux relativement à votre présentation.</w:t>
      </w:r>
    </w:p>
    <w:p w14:paraId="7E325FC9" w14:textId="5BACBDDA" w:rsidR="003C6E78" w:rsidRPr="009D5809" w:rsidRDefault="004756F1">
      <w:pPr>
        <w:spacing w:before="240" w:after="240"/>
        <w:rPr>
          <w:b/>
          <w:sz w:val="24"/>
          <w:szCs w:val="24"/>
          <w:lang w:val="fr-CA"/>
        </w:rPr>
      </w:pPr>
      <w:r w:rsidRPr="004756F1">
        <w:rPr>
          <w:b/>
          <w:bCs/>
          <w:sz w:val="24"/>
          <w:szCs w:val="24"/>
          <w:lang w:val="fr-CA"/>
        </w:rPr>
        <w:t>S</w:t>
      </w:r>
      <w:r w:rsidRPr="004756F1">
        <w:rPr>
          <w:b/>
          <w:bCs/>
          <w:sz w:val="24"/>
          <w:szCs w:val="24"/>
          <w:lang w:val="fr-CA" w:eastAsia="ja-JP"/>
        </w:rPr>
        <w:t>éance concomitante de norme</w:t>
      </w:r>
      <w:r w:rsidRPr="007F1240">
        <w:rPr>
          <w:lang w:val="fr-CA" w:eastAsia="ja-JP"/>
        </w:rPr>
        <w:t xml:space="preserve"> </w:t>
      </w:r>
      <w:r w:rsidR="008D372F" w:rsidRPr="009D5809">
        <w:rPr>
          <w:b/>
          <w:sz w:val="24"/>
          <w:szCs w:val="24"/>
          <w:lang w:val="fr-CA"/>
        </w:rPr>
        <w:t xml:space="preserve"> </w:t>
      </w:r>
    </w:p>
    <w:p w14:paraId="6D919302" w14:textId="716056BC" w:rsidR="003C6E78" w:rsidRPr="009D5809" w:rsidRDefault="004756F1">
      <w:pPr>
        <w:numPr>
          <w:ilvl w:val="0"/>
          <w:numId w:val="10"/>
        </w:numPr>
        <w:spacing w:before="240"/>
        <w:rPr>
          <w:sz w:val="24"/>
          <w:szCs w:val="24"/>
          <w:lang w:val="fr-CA"/>
        </w:rPr>
      </w:pPr>
      <w:r>
        <w:rPr>
          <w:sz w:val="24"/>
          <w:szCs w:val="24"/>
          <w:lang w:val="fr-CA"/>
        </w:rPr>
        <w:t>P</w:t>
      </w:r>
      <w:r w:rsidRPr="004756F1">
        <w:rPr>
          <w:sz w:val="24"/>
          <w:szCs w:val="24"/>
          <w:lang w:val="fr-CA"/>
        </w:rPr>
        <w:t xml:space="preserve">résentation d’une durée de </w:t>
      </w:r>
      <w:r w:rsidR="008A0855">
        <w:rPr>
          <w:sz w:val="24"/>
          <w:szCs w:val="24"/>
          <w:lang w:val="fr-CA"/>
        </w:rPr>
        <w:t>1</w:t>
      </w:r>
      <w:r w:rsidRPr="004756F1">
        <w:rPr>
          <w:sz w:val="24"/>
          <w:szCs w:val="24"/>
          <w:lang w:val="fr-CA"/>
        </w:rPr>
        <w:t xml:space="preserve">0 minutes + </w:t>
      </w:r>
      <w:r w:rsidR="008A0855">
        <w:rPr>
          <w:sz w:val="24"/>
          <w:szCs w:val="24"/>
          <w:lang w:val="fr-CA"/>
        </w:rPr>
        <w:t>6</w:t>
      </w:r>
      <w:r w:rsidRPr="004756F1">
        <w:rPr>
          <w:sz w:val="24"/>
          <w:szCs w:val="24"/>
          <w:lang w:val="fr-CA"/>
        </w:rPr>
        <w:t xml:space="preserve"> minutes </w:t>
      </w:r>
      <w:r w:rsidR="008A0855">
        <w:rPr>
          <w:sz w:val="24"/>
          <w:szCs w:val="24"/>
          <w:lang w:val="fr-CA"/>
        </w:rPr>
        <w:t>allouées aux questions</w:t>
      </w:r>
    </w:p>
    <w:p w14:paraId="2FEB8937" w14:textId="77777777" w:rsidR="00711C77" w:rsidRDefault="008A0855" w:rsidP="00711C77">
      <w:pPr>
        <w:numPr>
          <w:ilvl w:val="0"/>
          <w:numId w:val="10"/>
        </w:numPr>
        <w:rPr>
          <w:sz w:val="24"/>
          <w:szCs w:val="24"/>
          <w:lang w:val="fr-CA"/>
        </w:rPr>
      </w:pPr>
      <w:r w:rsidRPr="008A0855">
        <w:rPr>
          <w:sz w:val="24"/>
          <w:szCs w:val="24"/>
          <w:lang w:val="fr-CA"/>
        </w:rPr>
        <w:t>Les présentations seront regroupées selon les thèmes</w:t>
      </w:r>
    </w:p>
    <w:p w14:paraId="2D30C73B" w14:textId="3530E5C5" w:rsidR="008A0855" w:rsidRPr="00711C77" w:rsidRDefault="008A0855" w:rsidP="00711C77">
      <w:pPr>
        <w:numPr>
          <w:ilvl w:val="0"/>
          <w:numId w:val="10"/>
        </w:numPr>
        <w:rPr>
          <w:sz w:val="24"/>
          <w:szCs w:val="24"/>
          <w:lang w:val="fr-CA"/>
        </w:rPr>
      </w:pPr>
      <w:r w:rsidRPr="00711C77">
        <w:rPr>
          <w:sz w:val="24"/>
          <w:szCs w:val="24"/>
          <w:lang w:val="fr-CA"/>
        </w:rPr>
        <w:t>Les périodes de discussion seront dirigées par une personne ayant des connaissances contextuelles pertinentes.</w:t>
      </w:r>
      <w:r w:rsidRPr="00711C77">
        <w:rPr>
          <w:lang w:val="fr-CA"/>
        </w:rPr>
        <w:t xml:space="preserve"> </w:t>
      </w:r>
    </w:p>
    <w:p w14:paraId="4357FF7F" w14:textId="77777777" w:rsidR="008A0855" w:rsidRPr="007F1240" w:rsidRDefault="008A0855" w:rsidP="008A0855">
      <w:pPr>
        <w:spacing w:line="259" w:lineRule="auto"/>
        <w:rPr>
          <w:lang w:val="fr-CA"/>
        </w:rPr>
      </w:pPr>
      <w:r w:rsidRPr="007F1240">
        <w:rPr>
          <w:sz w:val="28"/>
          <w:lang w:val="fr-CA"/>
        </w:rPr>
        <w:t xml:space="preserve"> </w:t>
      </w:r>
    </w:p>
    <w:p w14:paraId="043C356D" w14:textId="1484ADD2" w:rsidR="003C6E78" w:rsidRPr="009D5809" w:rsidRDefault="008A0855">
      <w:pPr>
        <w:spacing w:before="240" w:after="240"/>
        <w:rPr>
          <w:b/>
          <w:sz w:val="24"/>
          <w:szCs w:val="24"/>
          <w:lang w:val="fr-CA"/>
        </w:rPr>
      </w:pPr>
      <w:r w:rsidRPr="008A0855">
        <w:rPr>
          <w:b/>
          <w:bCs/>
          <w:sz w:val="24"/>
          <w:szCs w:val="24"/>
          <w:lang w:val="fr-CA"/>
        </w:rPr>
        <w:t>Présentations d</w:t>
      </w:r>
      <w:r>
        <w:rPr>
          <w:b/>
          <w:bCs/>
          <w:sz w:val="24"/>
          <w:szCs w:val="24"/>
          <w:lang w:val="fr-CA"/>
        </w:rPr>
        <w:t>e bio</w:t>
      </w:r>
      <w:r w:rsidRPr="008A0855">
        <w:rPr>
          <w:b/>
          <w:bCs/>
          <w:sz w:val="24"/>
          <w:szCs w:val="24"/>
          <w:lang w:val="fr-CA"/>
        </w:rPr>
        <w:t>éthique de M&amp;M</w:t>
      </w:r>
      <w:r w:rsidRPr="007F1240">
        <w:rPr>
          <w:lang w:val="fr-CA"/>
        </w:rPr>
        <w:t xml:space="preserve"> </w:t>
      </w:r>
    </w:p>
    <w:p w14:paraId="14DA5038" w14:textId="420DCD82" w:rsidR="003C6E78" w:rsidRDefault="008A0855">
      <w:pPr>
        <w:numPr>
          <w:ilvl w:val="0"/>
          <w:numId w:val="6"/>
        </w:numPr>
        <w:spacing w:before="240" w:after="240"/>
        <w:rPr>
          <w:sz w:val="24"/>
          <w:szCs w:val="24"/>
          <w:lang w:val="fr-CA"/>
        </w:rPr>
      </w:pPr>
      <w:r>
        <w:rPr>
          <w:sz w:val="24"/>
          <w:szCs w:val="24"/>
          <w:lang w:val="fr-CA"/>
        </w:rPr>
        <w:t>P</w:t>
      </w:r>
      <w:r w:rsidRPr="008A0855">
        <w:rPr>
          <w:sz w:val="24"/>
          <w:szCs w:val="24"/>
          <w:lang w:val="fr-CA"/>
        </w:rPr>
        <w:t>résentation</w:t>
      </w:r>
      <w:r>
        <w:rPr>
          <w:sz w:val="24"/>
          <w:szCs w:val="24"/>
          <w:lang w:val="fr-CA"/>
        </w:rPr>
        <w:t>s</w:t>
      </w:r>
      <w:r w:rsidRPr="008A0855">
        <w:rPr>
          <w:sz w:val="24"/>
          <w:szCs w:val="24"/>
          <w:lang w:val="fr-CA"/>
        </w:rPr>
        <w:t xml:space="preserve"> d’une durée de 15 minutes portant sur des cas d’éthique clinique difficiles, des cas d’éthique de la recherche ou des cas d’éthique d’entreprise et </w:t>
      </w:r>
      <w:r w:rsidR="0071645A">
        <w:rPr>
          <w:sz w:val="24"/>
          <w:szCs w:val="24"/>
          <w:lang w:val="fr-CA"/>
        </w:rPr>
        <w:t xml:space="preserve">présentation de </w:t>
      </w:r>
      <w:r w:rsidRPr="008A0855">
        <w:rPr>
          <w:sz w:val="24"/>
          <w:szCs w:val="24"/>
          <w:lang w:val="fr-CA"/>
        </w:rPr>
        <w:t xml:space="preserve">toute recommandation ou résultats s’ils sont connus.   </w:t>
      </w:r>
    </w:p>
    <w:p w14:paraId="25ACC281" w14:textId="77777777" w:rsidR="006045D2" w:rsidRPr="008A0855" w:rsidRDefault="006045D2" w:rsidP="006045D2">
      <w:pPr>
        <w:spacing w:before="240" w:after="240"/>
        <w:ind w:left="720"/>
        <w:rPr>
          <w:sz w:val="24"/>
          <w:szCs w:val="24"/>
          <w:lang w:val="fr-CA"/>
        </w:rPr>
      </w:pPr>
      <w:bookmarkStart w:id="0" w:name="_GoBack"/>
      <w:bookmarkEnd w:id="0"/>
    </w:p>
    <w:p w14:paraId="2DCD60A1" w14:textId="37C5D5E0" w:rsidR="008A0855" w:rsidRPr="0071645A" w:rsidRDefault="008A0855" w:rsidP="008A0855">
      <w:pPr>
        <w:rPr>
          <w:sz w:val="24"/>
          <w:szCs w:val="24"/>
          <w:lang w:val="fr-CA"/>
        </w:rPr>
      </w:pPr>
      <w:r w:rsidRPr="008A0855">
        <w:rPr>
          <w:b/>
          <w:bCs/>
          <w:sz w:val="24"/>
          <w:szCs w:val="24"/>
          <w:lang w:val="fr-CA"/>
        </w:rPr>
        <w:lastRenderedPageBreak/>
        <w:t>Réunions éclair (Pecha kucha)</w:t>
      </w:r>
      <w:r w:rsidRPr="008A0855">
        <w:rPr>
          <w:lang w:val="fr-CA"/>
        </w:rPr>
        <w:t xml:space="preserve"> – </w:t>
      </w:r>
      <w:r w:rsidRPr="0071645A">
        <w:rPr>
          <w:sz w:val="24"/>
          <w:szCs w:val="24"/>
          <w:lang w:val="fr-CA"/>
        </w:rPr>
        <w:t>présentations courtes</w:t>
      </w:r>
      <w:r w:rsidR="0068058A">
        <w:rPr>
          <w:sz w:val="24"/>
          <w:szCs w:val="24"/>
          <w:lang w:val="fr-CA"/>
        </w:rPr>
        <w:t>,</w:t>
      </w:r>
      <w:r w:rsidRPr="0071645A">
        <w:rPr>
          <w:sz w:val="24"/>
          <w:szCs w:val="24"/>
          <w:lang w:val="fr-CA"/>
        </w:rPr>
        <w:t xml:space="preserve"> orales ou visuelles. </w:t>
      </w:r>
    </w:p>
    <w:p w14:paraId="53A3A7D3" w14:textId="14A0D406" w:rsidR="003C6E78" w:rsidRPr="009D5809" w:rsidRDefault="008A0855">
      <w:pPr>
        <w:numPr>
          <w:ilvl w:val="0"/>
          <w:numId w:val="4"/>
        </w:numPr>
        <w:spacing w:before="240" w:after="240"/>
        <w:rPr>
          <w:lang w:val="fr-CA"/>
        </w:rPr>
      </w:pPr>
      <w:r>
        <w:rPr>
          <w:sz w:val="24"/>
          <w:szCs w:val="24"/>
          <w:lang w:val="fr-CA"/>
        </w:rPr>
        <w:t>Présentations rapides structurées, orales ou visuelles, offrant des diapositives et comprenant des commentaires de 20 secondes (6 minutes et 40 secondes au total)</w:t>
      </w:r>
      <w:r w:rsidR="00DE466A" w:rsidRPr="009D5809">
        <w:rPr>
          <w:sz w:val="16"/>
          <w:szCs w:val="16"/>
          <w:lang w:val="fr-CA"/>
        </w:rPr>
        <w:t xml:space="preserve"> </w:t>
      </w:r>
    </w:p>
    <w:p w14:paraId="7EBCA20E" w14:textId="0A6795A9" w:rsidR="00A3458C" w:rsidRPr="00A3458C" w:rsidRDefault="00A3458C" w:rsidP="00A3458C">
      <w:pPr>
        <w:shd w:val="clear" w:color="auto" w:fill="FFFFFF"/>
        <w:spacing w:before="100" w:beforeAutospacing="1" w:line="240" w:lineRule="auto"/>
        <w:rPr>
          <w:rFonts w:eastAsia="Batang" w:cstheme="minorHAnsi"/>
          <w:b/>
          <w:bCs/>
          <w:sz w:val="24"/>
          <w:szCs w:val="24"/>
          <w:lang w:val="fr-CA"/>
        </w:rPr>
      </w:pPr>
      <w:r w:rsidRPr="00A3458C">
        <w:rPr>
          <w:rFonts w:eastAsia="Batang" w:cstheme="minorHAnsi"/>
          <w:b/>
          <w:bCs/>
          <w:sz w:val="24"/>
          <w:szCs w:val="24"/>
          <w:lang w:val="fr-CA"/>
        </w:rPr>
        <w:t>Ateliers pré-conférence (Séances de 3 heures avant la conférence générale)</w:t>
      </w:r>
    </w:p>
    <w:p w14:paraId="2C1C82EF" w14:textId="77777777" w:rsidR="006A01A7" w:rsidRPr="006A01A7" w:rsidRDefault="00A3458C" w:rsidP="006A01A7">
      <w:pPr>
        <w:numPr>
          <w:ilvl w:val="0"/>
          <w:numId w:val="5"/>
        </w:numPr>
        <w:spacing w:before="240"/>
        <w:rPr>
          <w:sz w:val="24"/>
          <w:szCs w:val="24"/>
          <w:lang w:val="fr-CA"/>
        </w:rPr>
      </w:pPr>
      <w:r>
        <w:rPr>
          <w:sz w:val="24"/>
          <w:szCs w:val="24"/>
          <w:lang w:val="fr-CA"/>
        </w:rPr>
        <w:t xml:space="preserve">Des </w:t>
      </w:r>
      <w:r w:rsidRPr="006A01A7">
        <w:rPr>
          <w:rFonts w:eastAsia="Batang"/>
          <w:bCs/>
          <w:sz w:val="24"/>
          <w:szCs w:val="24"/>
          <w:lang w:val="fr-CA"/>
        </w:rPr>
        <w:t xml:space="preserve">ateliers pré-conférence se tiendront le 25 mai, avant le début de la conférence générale </w:t>
      </w:r>
    </w:p>
    <w:p w14:paraId="53BA6686" w14:textId="4AAEDB1C" w:rsidR="006A01A7" w:rsidRPr="006A01A7" w:rsidRDefault="006A01A7" w:rsidP="006A01A7">
      <w:pPr>
        <w:numPr>
          <w:ilvl w:val="0"/>
          <w:numId w:val="5"/>
        </w:numPr>
        <w:spacing w:before="240"/>
        <w:rPr>
          <w:sz w:val="24"/>
          <w:szCs w:val="24"/>
          <w:lang w:val="fr-CA"/>
        </w:rPr>
      </w:pPr>
      <w:r w:rsidRPr="006A01A7">
        <w:rPr>
          <w:sz w:val="24"/>
          <w:szCs w:val="24"/>
          <w:lang w:val="fr-CA"/>
        </w:rPr>
        <w:t xml:space="preserve">Ces </w:t>
      </w:r>
      <w:r w:rsidRPr="006A01A7">
        <w:rPr>
          <w:rFonts w:eastAsia="Batang"/>
          <w:bCs/>
          <w:sz w:val="24"/>
          <w:szCs w:val="24"/>
          <w:lang w:val="fr-CA"/>
        </w:rPr>
        <w:t>ateliers se doivent d’être interactifs et doivent permettre aux délégués de participer de façon concrète avec le matériel et de se concentrer sur l’évènement</w:t>
      </w:r>
      <w:r w:rsidRPr="006A01A7">
        <w:rPr>
          <w:sz w:val="24"/>
          <w:szCs w:val="24"/>
          <w:lang w:val="fr-CA"/>
        </w:rPr>
        <w:t xml:space="preserve">.  </w:t>
      </w:r>
      <w:r w:rsidRPr="006A01A7">
        <w:rPr>
          <w:rFonts w:eastAsia="Batang"/>
          <w:sz w:val="24"/>
          <w:szCs w:val="24"/>
          <w:lang w:val="fr-CA"/>
        </w:rPr>
        <w:t xml:space="preserve">Les résumés doivent comprendre : </w:t>
      </w:r>
    </w:p>
    <w:p w14:paraId="311892C5" w14:textId="4E191E31" w:rsidR="006A01A7" w:rsidRPr="006A01A7" w:rsidRDefault="006A01A7" w:rsidP="006A01A7">
      <w:pPr>
        <w:pStyle w:val="ListParagraph"/>
        <w:numPr>
          <w:ilvl w:val="0"/>
          <w:numId w:val="14"/>
        </w:numPr>
        <w:spacing w:before="240"/>
        <w:rPr>
          <w:rFonts w:ascii="Arial" w:hAnsi="Arial" w:cs="Arial"/>
          <w:sz w:val="24"/>
          <w:szCs w:val="24"/>
          <w:lang w:val="fr-CA"/>
        </w:rPr>
      </w:pPr>
      <w:r w:rsidRPr="006A01A7">
        <w:rPr>
          <w:rFonts w:ascii="Arial" w:hAnsi="Arial" w:cs="Arial"/>
          <w:sz w:val="24"/>
          <w:szCs w:val="24"/>
          <w:lang w:val="fr-CA"/>
        </w:rPr>
        <w:t>Les noms et affiliations institutionnelles des présentateurs et des coprésentat</w:t>
      </w:r>
      <w:r w:rsidR="0068058A">
        <w:rPr>
          <w:rFonts w:ascii="Arial" w:hAnsi="Arial" w:cs="Arial"/>
          <w:sz w:val="24"/>
          <w:szCs w:val="24"/>
          <w:lang w:val="fr-CA"/>
        </w:rPr>
        <w:t>eur</w:t>
      </w:r>
      <w:r w:rsidRPr="006A01A7">
        <w:rPr>
          <w:rFonts w:ascii="Arial" w:hAnsi="Arial" w:cs="Arial"/>
          <w:sz w:val="24"/>
          <w:szCs w:val="24"/>
          <w:lang w:val="fr-CA"/>
        </w:rPr>
        <w:t>s</w:t>
      </w:r>
    </w:p>
    <w:p w14:paraId="7C28F794" w14:textId="5E14C372" w:rsidR="006A01A7" w:rsidRPr="006A01A7" w:rsidRDefault="006A01A7" w:rsidP="006A01A7">
      <w:pPr>
        <w:pStyle w:val="ListParagraph"/>
        <w:numPr>
          <w:ilvl w:val="0"/>
          <w:numId w:val="14"/>
        </w:numPr>
        <w:spacing w:before="240"/>
        <w:rPr>
          <w:rFonts w:ascii="Arial" w:eastAsia="Arial" w:hAnsi="Arial" w:cs="Arial"/>
          <w:sz w:val="24"/>
          <w:szCs w:val="24"/>
          <w:lang w:val="fr-CA"/>
        </w:rPr>
      </w:pPr>
      <w:r w:rsidRPr="006A01A7">
        <w:rPr>
          <w:rFonts w:ascii="Arial" w:eastAsia="Batang" w:hAnsi="Arial" w:cs="Arial"/>
          <w:sz w:val="24"/>
          <w:szCs w:val="24"/>
          <w:lang w:val="fr-CA"/>
        </w:rPr>
        <w:t>Une brève description du thème et de l’objectif de l’atelier </w:t>
      </w:r>
    </w:p>
    <w:p w14:paraId="38EB95ED" w14:textId="66C2A9CA" w:rsidR="006A01A7" w:rsidRPr="006A01A7" w:rsidRDefault="006A01A7" w:rsidP="006A01A7">
      <w:pPr>
        <w:pStyle w:val="ListParagraph"/>
        <w:numPr>
          <w:ilvl w:val="0"/>
          <w:numId w:val="14"/>
        </w:numPr>
        <w:spacing w:before="240"/>
        <w:rPr>
          <w:rFonts w:ascii="Arial" w:eastAsia="Arial" w:hAnsi="Arial" w:cs="Arial"/>
          <w:sz w:val="24"/>
          <w:szCs w:val="24"/>
          <w:lang w:val="fr-CA"/>
        </w:rPr>
      </w:pPr>
      <w:r w:rsidRPr="006A01A7">
        <w:rPr>
          <w:rFonts w:ascii="Arial" w:eastAsia="Batang" w:hAnsi="Arial" w:cs="Arial"/>
          <w:sz w:val="24"/>
          <w:szCs w:val="24"/>
          <w:lang w:val="fr-CA"/>
        </w:rPr>
        <w:t>Un projet d’ordre du jour</w:t>
      </w:r>
    </w:p>
    <w:p w14:paraId="0BFF5AB6" w14:textId="13C02A08" w:rsidR="006A01A7" w:rsidRPr="006A01A7" w:rsidRDefault="0068058A" w:rsidP="006A01A7">
      <w:pPr>
        <w:pStyle w:val="ListParagraph"/>
        <w:numPr>
          <w:ilvl w:val="0"/>
          <w:numId w:val="14"/>
        </w:numPr>
        <w:spacing w:before="240"/>
        <w:rPr>
          <w:rFonts w:ascii="Arial" w:eastAsia="Arial" w:hAnsi="Arial" w:cs="Arial"/>
          <w:sz w:val="24"/>
          <w:szCs w:val="24"/>
          <w:lang w:val="fr-CA"/>
        </w:rPr>
      </w:pPr>
      <w:r>
        <w:rPr>
          <w:rFonts w:ascii="Arial" w:eastAsia="Batang" w:hAnsi="Arial" w:cs="Arial"/>
          <w:sz w:val="24"/>
          <w:szCs w:val="24"/>
          <w:lang w:val="fr-CA"/>
        </w:rPr>
        <w:t>Les o</w:t>
      </w:r>
      <w:r w:rsidR="006A01A7" w:rsidRPr="006A01A7">
        <w:rPr>
          <w:rFonts w:ascii="Arial" w:eastAsia="Batang" w:hAnsi="Arial" w:cs="Arial"/>
          <w:sz w:val="24"/>
          <w:szCs w:val="24"/>
          <w:lang w:val="fr-CA"/>
        </w:rPr>
        <w:t>bjectifs d’apprentissages possibles pour les participants.</w:t>
      </w:r>
    </w:p>
    <w:p w14:paraId="3D363822" w14:textId="16F28836" w:rsidR="003C6E78" w:rsidRPr="009D5809" w:rsidRDefault="003C6E78">
      <w:pPr>
        <w:shd w:val="clear" w:color="auto" w:fill="FFFFFF"/>
        <w:spacing w:before="240" w:after="200"/>
        <w:rPr>
          <w:sz w:val="24"/>
          <w:szCs w:val="24"/>
          <w:lang w:val="fr-CA"/>
        </w:rPr>
      </w:pPr>
    </w:p>
    <w:p w14:paraId="3DB2D991" w14:textId="34A81ADD" w:rsidR="007C36F7" w:rsidRPr="007C36F7" w:rsidRDefault="007C36F7" w:rsidP="007C36F7">
      <w:pPr>
        <w:shd w:val="clear" w:color="auto" w:fill="FFFFFF"/>
        <w:spacing w:line="240" w:lineRule="auto"/>
        <w:rPr>
          <w:rFonts w:eastAsia="Batang"/>
          <w:b/>
          <w:bCs/>
          <w:sz w:val="24"/>
          <w:szCs w:val="24"/>
          <w:lang w:val="fr-CA"/>
        </w:rPr>
      </w:pPr>
      <w:r w:rsidRPr="007C36F7">
        <w:rPr>
          <w:rFonts w:eastAsia="Batang"/>
          <w:b/>
          <w:bCs/>
          <w:sz w:val="24"/>
          <w:szCs w:val="24"/>
          <w:lang w:val="fr-CA"/>
        </w:rPr>
        <w:t>LI</w:t>
      </w:r>
      <w:r w:rsidR="0068058A">
        <w:rPr>
          <w:rFonts w:eastAsia="Batang"/>
          <w:b/>
          <w:bCs/>
          <w:sz w:val="24"/>
          <w:szCs w:val="24"/>
          <w:lang w:val="fr-CA"/>
        </w:rPr>
        <w:t>G</w:t>
      </w:r>
      <w:r w:rsidRPr="007C36F7">
        <w:rPr>
          <w:rFonts w:eastAsia="Batang"/>
          <w:b/>
          <w:bCs/>
          <w:sz w:val="24"/>
          <w:szCs w:val="24"/>
          <w:lang w:val="fr-CA"/>
        </w:rPr>
        <w:t xml:space="preserve">NES DIRECTRICES POUR LA </w:t>
      </w:r>
      <w:r w:rsidR="003A7D72">
        <w:rPr>
          <w:rFonts w:eastAsia="Batang"/>
          <w:b/>
          <w:bCs/>
          <w:sz w:val="24"/>
          <w:szCs w:val="24"/>
          <w:lang w:val="fr-CA"/>
        </w:rPr>
        <w:t>SOUMISSION</w:t>
      </w:r>
      <w:r w:rsidRPr="007C36F7">
        <w:rPr>
          <w:rFonts w:eastAsia="Batang"/>
          <w:b/>
          <w:bCs/>
          <w:sz w:val="24"/>
          <w:szCs w:val="24"/>
          <w:lang w:val="fr-CA"/>
        </w:rPr>
        <w:t xml:space="preserve"> DE RÉSUMÉS</w:t>
      </w:r>
    </w:p>
    <w:p w14:paraId="79E2064C" w14:textId="60C95F92" w:rsidR="003C6E78" w:rsidRPr="009D5809" w:rsidRDefault="007C36F7">
      <w:pPr>
        <w:spacing w:before="240" w:after="240"/>
        <w:rPr>
          <w:sz w:val="24"/>
          <w:szCs w:val="24"/>
          <w:lang w:val="fr-CA"/>
        </w:rPr>
      </w:pPr>
      <w:r>
        <w:rPr>
          <w:sz w:val="24"/>
          <w:szCs w:val="24"/>
          <w:lang w:val="fr-CA"/>
        </w:rPr>
        <w:t xml:space="preserve">La longueur des présentations de résumés </w:t>
      </w:r>
      <w:r w:rsidR="003A7D72">
        <w:rPr>
          <w:sz w:val="24"/>
          <w:szCs w:val="24"/>
          <w:lang w:val="fr-CA"/>
        </w:rPr>
        <w:t>est comme suit :</w:t>
      </w:r>
    </w:p>
    <w:p w14:paraId="6F1885F8" w14:textId="08EF0F4E" w:rsidR="003C6E78" w:rsidRPr="009D5809" w:rsidRDefault="003A7D72">
      <w:pPr>
        <w:numPr>
          <w:ilvl w:val="0"/>
          <w:numId w:val="2"/>
        </w:numPr>
        <w:spacing w:before="240"/>
        <w:rPr>
          <w:sz w:val="24"/>
          <w:szCs w:val="24"/>
          <w:lang w:val="fr-CA"/>
        </w:rPr>
      </w:pPr>
      <w:r>
        <w:rPr>
          <w:sz w:val="24"/>
          <w:szCs w:val="24"/>
          <w:lang w:val="fr-CA"/>
        </w:rPr>
        <w:t>Séances concomitantes de norme : maximum de 250 mots</w:t>
      </w:r>
      <w:r w:rsidR="00DE466A" w:rsidRPr="009D5809">
        <w:rPr>
          <w:sz w:val="24"/>
          <w:szCs w:val="24"/>
          <w:lang w:val="fr-CA"/>
        </w:rPr>
        <w:t xml:space="preserve"> </w:t>
      </w:r>
    </w:p>
    <w:p w14:paraId="1AD87EBF" w14:textId="58619669" w:rsidR="003C6E78" w:rsidRPr="009D5809" w:rsidRDefault="00367A8E">
      <w:pPr>
        <w:numPr>
          <w:ilvl w:val="0"/>
          <w:numId w:val="2"/>
        </w:numPr>
        <w:rPr>
          <w:sz w:val="24"/>
          <w:szCs w:val="24"/>
          <w:lang w:val="fr-CA"/>
        </w:rPr>
      </w:pPr>
      <w:r>
        <w:rPr>
          <w:sz w:val="24"/>
          <w:szCs w:val="24"/>
          <w:lang w:val="fr-CA"/>
        </w:rPr>
        <w:t>Présentations de bioéthique de M&amp;M : maximum de 250 mots</w:t>
      </w:r>
    </w:p>
    <w:p w14:paraId="7E831E67" w14:textId="6A9D1C2C" w:rsidR="003C6E78" w:rsidRPr="009D5809" w:rsidRDefault="00367A8E">
      <w:pPr>
        <w:numPr>
          <w:ilvl w:val="0"/>
          <w:numId w:val="2"/>
        </w:numPr>
        <w:rPr>
          <w:sz w:val="24"/>
          <w:szCs w:val="24"/>
          <w:lang w:val="fr-CA"/>
        </w:rPr>
      </w:pPr>
      <w:r>
        <w:rPr>
          <w:sz w:val="24"/>
          <w:szCs w:val="24"/>
          <w:lang w:val="fr-CA"/>
        </w:rPr>
        <w:t>Réunions éclairs</w:t>
      </w:r>
      <w:r w:rsidR="00DE466A" w:rsidRPr="009D5809">
        <w:rPr>
          <w:sz w:val="24"/>
          <w:szCs w:val="24"/>
          <w:lang w:val="fr-CA"/>
        </w:rPr>
        <w:t xml:space="preserve"> (Pecha kucha)</w:t>
      </w:r>
      <w:r>
        <w:rPr>
          <w:sz w:val="24"/>
          <w:szCs w:val="24"/>
          <w:lang w:val="fr-CA"/>
        </w:rPr>
        <w:t xml:space="preserve"> </w:t>
      </w:r>
      <w:r w:rsidR="00DE466A" w:rsidRPr="009D5809">
        <w:rPr>
          <w:sz w:val="24"/>
          <w:szCs w:val="24"/>
          <w:lang w:val="fr-CA"/>
        </w:rPr>
        <w:t xml:space="preserve">: maximum </w:t>
      </w:r>
      <w:r>
        <w:rPr>
          <w:sz w:val="24"/>
          <w:szCs w:val="24"/>
          <w:lang w:val="fr-CA"/>
        </w:rPr>
        <w:t xml:space="preserve">de </w:t>
      </w:r>
      <w:r w:rsidR="00DE466A" w:rsidRPr="009D5809">
        <w:rPr>
          <w:sz w:val="24"/>
          <w:szCs w:val="24"/>
          <w:lang w:val="fr-CA"/>
        </w:rPr>
        <w:t xml:space="preserve">250 </w:t>
      </w:r>
      <w:r>
        <w:rPr>
          <w:sz w:val="24"/>
          <w:szCs w:val="24"/>
          <w:lang w:val="fr-CA"/>
        </w:rPr>
        <w:t>mots</w:t>
      </w:r>
    </w:p>
    <w:p w14:paraId="07325E64" w14:textId="67F4F47B" w:rsidR="003C6E78" w:rsidRPr="009D5809" w:rsidRDefault="00367A8E">
      <w:pPr>
        <w:numPr>
          <w:ilvl w:val="0"/>
          <w:numId w:val="2"/>
        </w:numPr>
        <w:spacing w:after="240"/>
        <w:rPr>
          <w:sz w:val="24"/>
          <w:szCs w:val="24"/>
          <w:lang w:val="fr-CA"/>
        </w:rPr>
      </w:pPr>
      <w:r>
        <w:rPr>
          <w:sz w:val="24"/>
          <w:szCs w:val="24"/>
          <w:lang w:val="fr-CA"/>
        </w:rPr>
        <w:t>Ateliers pré-conférence :</w:t>
      </w:r>
      <w:r w:rsidR="00DE466A" w:rsidRPr="009D5809">
        <w:rPr>
          <w:sz w:val="24"/>
          <w:szCs w:val="24"/>
          <w:lang w:val="fr-CA"/>
        </w:rPr>
        <w:t xml:space="preserve"> maximum </w:t>
      </w:r>
      <w:r>
        <w:rPr>
          <w:sz w:val="24"/>
          <w:szCs w:val="24"/>
          <w:lang w:val="fr-CA"/>
        </w:rPr>
        <w:t xml:space="preserve">de </w:t>
      </w:r>
      <w:r w:rsidR="00DE466A" w:rsidRPr="009D5809">
        <w:rPr>
          <w:sz w:val="24"/>
          <w:szCs w:val="24"/>
          <w:lang w:val="fr-CA"/>
        </w:rPr>
        <w:t>1</w:t>
      </w:r>
      <w:r>
        <w:rPr>
          <w:sz w:val="24"/>
          <w:szCs w:val="24"/>
          <w:lang w:val="fr-CA"/>
        </w:rPr>
        <w:t xml:space="preserve"> </w:t>
      </w:r>
      <w:r w:rsidR="00DE466A" w:rsidRPr="009D5809">
        <w:rPr>
          <w:sz w:val="24"/>
          <w:szCs w:val="24"/>
          <w:lang w:val="fr-CA"/>
        </w:rPr>
        <w:t xml:space="preserve">000 </w:t>
      </w:r>
      <w:r>
        <w:rPr>
          <w:sz w:val="24"/>
          <w:szCs w:val="24"/>
          <w:lang w:val="fr-CA"/>
        </w:rPr>
        <w:t>mots</w:t>
      </w:r>
      <w:r w:rsidR="00DE466A" w:rsidRPr="009D5809">
        <w:rPr>
          <w:sz w:val="24"/>
          <w:szCs w:val="24"/>
          <w:lang w:val="fr-CA"/>
        </w:rPr>
        <w:t xml:space="preserve"> </w:t>
      </w:r>
    </w:p>
    <w:p w14:paraId="325BD74E" w14:textId="569AF509" w:rsidR="003C6E78" w:rsidRPr="009D5809" w:rsidRDefault="00367A8E">
      <w:pPr>
        <w:spacing w:before="240" w:after="240"/>
        <w:rPr>
          <w:sz w:val="24"/>
          <w:szCs w:val="24"/>
          <w:lang w:val="fr-CA"/>
        </w:rPr>
      </w:pPr>
      <w:r>
        <w:rPr>
          <w:sz w:val="24"/>
          <w:szCs w:val="24"/>
          <w:lang w:val="fr-CA"/>
        </w:rPr>
        <w:t xml:space="preserve">Quelques rappels concernant les résumés et le contenu des présentations </w:t>
      </w:r>
      <w:r w:rsidR="00DE466A" w:rsidRPr="009D5809">
        <w:rPr>
          <w:sz w:val="24"/>
          <w:szCs w:val="24"/>
          <w:lang w:val="fr-CA"/>
        </w:rPr>
        <w:t>:</w:t>
      </w:r>
    </w:p>
    <w:p w14:paraId="085F8EED" w14:textId="237DF7CE" w:rsidR="003C6E78" w:rsidRPr="00367A8E" w:rsidRDefault="00367A8E">
      <w:pPr>
        <w:numPr>
          <w:ilvl w:val="0"/>
          <w:numId w:val="9"/>
        </w:numPr>
        <w:spacing w:before="240"/>
        <w:rPr>
          <w:sz w:val="24"/>
          <w:szCs w:val="24"/>
          <w:lang w:val="fr-CA"/>
        </w:rPr>
      </w:pPr>
      <w:r w:rsidRPr="00367A8E">
        <w:rPr>
          <w:sz w:val="24"/>
          <w:szCs w:val="24"/>
          <w:lang w:val="fr-CA"/>
        </w:rPr>
        <w:t xml:space="preserve">Bien </w:t>
      </w:r>
      <w:r w:rsidRPr="00367A8E">
        <w:rPr>
          <w:rFonts w:eastAsia="Batang"/>
          <w:sz w:val="24"/>
          <w:szCs w:val="24"/>
          <w:lang w:val="fr-CA"/>
        </w:rPr>
        <w:t xml:space="preserve">réviser le résumé afin d’en assurer l’exactitude.  Si vous êtes sélectionné, le </w:t>
      </w:r>
      <w:r w:rsidRPr="00367A8E">
        <w:rPr>
          <w:rFonts w:eastAsia="Batang"/>
          <w:b/>
          <w:sz w:val="24"/>
          <w:szCs w:val="24"/>
          <w:lang w:val="fr-CA"/>
        </w:rPr>
        <w:t xml:space="preserve">résumé sera publié tel que présenté </w:t>
      </w:r>
    </w:p>
    <w:p w14:paraId="55E49154" w14:textId="77777777" w:rsidR="00367A8E" w:rsidRPr="00367A8E" w:rsidRDefault="00367A8E" w:rsidP="00367A8E">
      <w:pPr>
        <w:numPr>
          <w:ilvl w:val="0"/>
          <w:numId w:val="9"/>
        </w:numPr>
        <w:rPr>
          <w:sz w:val="24"/>
          <w:szCs w:val="24"/>
          <w:lang w:val="fr-CA"/>
        </w:rPr>
      </w:pPr>
      <w:r w:rsidRPr="00367A8E">
        <w:rPr>
          <w:b/>
          <w:sz w:val="24"/>
          <w:szCs w:val="24"/>
          <w:lang w:val="fr-CA"/>
        </w:rPr>
        <w:t>Les conflits d’intérêts</w:t>
      </w:r>
      <w:r w:rsidR="00DE466A" w:rsidRPr="00367A8E">
        <w:rPr>
          <w:sz w:val="24"/>
          <w:szCs w:val="24"/>
          <w:lang w:val="fr-CA"/>
        </w:rPr>
        <w:t xml:space="preserve"> </w:t>
      </w:r>
      <w:r w:rsidRPr="00367A8E">
        <w:rPr>
          <w:rFonts w:eastAsia="Batang"/>
          <w:sz w:val="24"/>
          <w:szCs w:val="24"/>
          <w:lang w:val="fr-CA"/>
        </w:rPr>
        <w:t>(par exemple : bourses, consultations, membre de conseil consultatifs, etc.) et les sources de financement doivent être divulgués</w:t>
      </w:r>
    </w:p>
    <w:p w14:paraId="55F08EF7" w14:textId="1BC45459" w:rsidR="00367A8E" w:rsidRPr="00367A8E" w:rsidRDefault="00367A8E" w:rsidP="00367A8E">
      <w:pPr>
        <w:numPr>
          <w:ilvl w:val="0"/>
          <w:numId w:val="9"/>
        </w:numPr>
        <w:rPr>
          <w:sz w:val="24"/>
          <w:szCs w:val="24"/>
          <w:lang w:val="fr-CA"/>
        </w:rPr>
      </w:pPr>
      <w:r w:rsidRPr="00367A8E">
        <w:rPr>
          <w:sz w:val="24"/>
          <w:szCs w:val="24"/>
          <w:lang w:val="fr-CA"/>
        </w:rPr>
        <w:t xml:space="preserve">Les résumés </w:t>
      </w:r>
      <w:r w:rsidRPr="00367A8E">
        <w:rPr>
          <w:rFonts w:eastAsia="Batang" w:cstheme="minorHAnsi"/>
          <w:sz w:val="24"/>
          <w:szCs w:val="24"/>
          <w:lang w:val="fr-CA"/>
        </w:rPr>
        <w:t xml:space="preserve">doivent être présentés en français ou en anglais.  A moins d’indications contraires, la </w:t>
      </w:r>
      <w:r w:rsidRPr="00367A8E">
        <w:rPr>
          <w:rFonts w:eastAsia="Batang" w:cstheme="minorHAnsi"/>
          <w:b/>
          <w:sz w:val="24"/>
          <w:szCs w:val="24"/>
          <w:lang w:val="fr-CA"/>
        </w:rPr>
        <w:t>langue de soumission</w:t>
      </w:r>
      <w:r w:rsidRPr="00367A8E">
        <w:rPr>
          <w:rFonts w:eastAsia="Batang" w:cstheme="minorHAnsi"/>
          <w:sz w:val="24"/>
          <w:szCs w:val="24"/>
          <w:lang w:val="fr-CA"/>
        </w:rPr>
        <w:t xml:space="preserve"> sera présumée être la langue de présentation.  Toutefois, afin de promouvoir le caractère bilingue de la SCB, les auteurs qui peuvent présenter leur soumission dans les deux langues sont encouragés à le faire, soit en adaptant leur présentation Power Point pour les deux langues ou en spécifiant qu’ils sont aptes à répondre aux questions dans les deux langues officielles.  Note : </w:t>
      </w:r>
      <w:r w:rsidRPr="00367A8E">
        <w:rPr>
          <w:rFonts w:eastAsia="Batang" w:cstheme="minorHAnsi"/>
          <w:b/>
          <w:sz w:val="24"/>
          <w:szCs w:val="24"/>
          <w:lang w:val="fr-CA"/>
        </w:rPr>
        <w:t>l’interprétation en simultané</w:t>
      </w:r>
      <w:r w:rsidRPr="00367A8E">
        <w:rPr>
          <w:rFonts w:eastAsia="Batang" w:cstheme="minorHAnsi"/>
          <w:sz w:val="24"/>
          <w:szCs w:val="24"/>
          <w:lang w:val="fr-CA"/>
        </w:rPr>
        <w:t xml:space="preserve"> sera offerte pour les sessions plénières seulement et n’est pas disponible pour les séances en parallèle  </w:t>
      </w:r>
    </w:p>
    <w:p w14:paraId="44594C4D" w14:textId="77777777" w:rsidR="00D7017B" w:rsidRPr="00D7017B" w:rsidRDefault="00D7017B">
      <w:pPr>
        <w:numPr>
          <w:ilvl w:val="0"/>
          <w:numId w:val="9"/>
        </w:numPr>
        <w:rPr>
          <w:sz w:val="24"/>
          <w:szCs w:val="24"/>
          <w:lang w:val="fr-CA"/>
        </w:rPr>
      </w:pPr>
      <w:r>
        <w:rPr>
          <w:sz w:val="24"/>
          <w:szCs w:val="24"/>
          <w:lang w:val="fr-CA"/>
        </w:rPr>
        <w:lastRenderedPageBreak/>
        <w:t xml:space="preserve">L’individu </w:t>
      </w:r>
      <w:r w:rsidRPr="00D7017B">
        <w:rPr>
          <w:rFonts w:eastAsia="Batang"/>
          <w:sz w:val="24"/>
          <w:szCs w:val="24"/>
          <w:lang w:val="fr-CA"/>
        </w:rPr>
        <w:t xml:space="preserve">inscrit à titre de </w:t>
      </w:r>
      <w:r w:rsidRPr="00D7017B">
        <w:rPr>
          <w:rFonts w:eastAsia="Batang"/>
          <w:b/>
          <w:bCs/>
          <w:sz w:val="24"/>
          <w:szCs w:val="24"/>
          <w:lang w:val="fr-CA"/>
        </w:rPr>
        <w:t>présentateur principal</w:t>
      </w:r>
      <w:r w:rsidRPr="00D7017B">
        <w:rPr>
          <w:rFonts w:eastAsia="Batang"/>
          <w:sz w:val="24"/>
          <w:szCs w:val="24"/>
          <w:lang w:val="fr-CA"/>
        </w:rPr>
        <w:t xml:space="preserve"> servira également de principale personne-ressource.  Le coprésentateur doit également être inscrit dans le champ approprié, sur le formulaire de soumission de résumés</w:t>
      </w:r>
      <w:r w:rsidRPr="007F1240">
        <w:rPr>
          <w:rFonts w:asciiTheme="minorHAnsi" w:eastAsia="Batang" w:hAnsiTheme="minorHAnsi" w:cstheme="minorHAnsi"/>
          <w:sz w:val="24"/>
          <w:szCs w:val="24"/>
          <w:lang w:val="fr-CA"/>
        </w:rPr>
        <w:t xml:space="preserve">  </w:t>
      </w:r>
    </w:p>
    <w:p w14:paraId="74F228FD" w14:textId="77777777" w:rsidR="00D7017B" w:rsidRPr="00D7017B" w:rsidRDefault="00D7017B">
      <w:pPr>
        <w:numPr>
          <w:ilvl w:val="0"/>
          <w:numId w:val="9"/>
        </w:numPr>
        <w:rPr>
          <w:sz w:val="24"/>
          <w:szCs w:val="24"/>
          <w:lang w:val="fr-CA"/>
        </w:rPr>
      </w:pPr>
      <w:r>
        <w:rPr>
          <w:sz w:val="24"/>
          <w:szCs w:val="24"/>
          <w:lang w:val="fr-CA"/>
        </w:rPr>
        <w:t xml:space="preserve">Lorsque </w:t>
      </w:r>
      <w:r w:rsidRPr="00D7017B">
        <w:rPr>
          <w:rFonts w:eastAsia="Batang"/>
          <w:sz w:val="24"/>
          <w:szCs w:val="24"/>
          <w:lang w:val="fr-CA"/>
        </w:rPr>
        <w:t xml:space="preserve">l’auteur est un étudiant à temps plein, celui-ci </w:t>
      </w:r>
      <w:r w:rsidRPr="00D7017B">
        <w:rPr>
          <w:rFonts w:eastAsia="Batang"/>
          <w:b/>
          <w:bCs/>
          <w:sz w:val="24"/>
          <w:szCs w:val="24"/>
          <w:lang w:val="fr-CA"/>
        </w:rPr>
        <w:t>doit s’identifier comme tel</w:t>
      </w:r>
      <w:r w:rsidRPr="00D7017B">
        <w:rPr>
          <w:rFonts w:eastAsia="Batang"/>
          <w:sz w:val="24"/>
          <w:szCs w:val="24"/>
          <w:lang w:val="fr-CA"/>
        </w:rPr>
        <w:t>.  Une pièce d’identité acceptable doit être présentée lors de l’inscription à la conférence, afin que l’étudiant puisse être admissible aux prix étudiants</w:t>
      </w:r>
    </w:p>
    <w:p w14:paraId="44902830" w14:textId="77777777" w:rsidR="00D7017B" w:rsidRDefault="00D7017B" w:rsidP="00D7017B">
      <w:pPr>
        <w:numPr>
          <w:ilvl w:val="0"/>
          <w:numId w:val="9"/>
        </w:numPr>
        <w:rPr>
          <w:sz w:val="24"/>
          <w:szCs w:val="24"/>
          <w:lang w:val="fr-CA"/>
        </w:rPr>
      </w:pPr>
      <w:r>
        <w:rPr>
          <w:sz w:val="24"/>
          <w:szCs w:val="24"/>
          <w:lang w:val="fr-CA"/>
        </w:rPr>
        <w:t>Les présentateurs</w:t>
      </w:r>
      <w:r w:rsidRPr="00D7017B">
        <w:rPr>
          <w:sz w:val="24"/>
          <w:szCs w:val="24"/>
          <w:lang w:val="fr-CA"/>
        </w:rPr>
        <w:t xml:space="preserve"> </w:t>
      </w:r>
      <w:r w:rsidRPr="00D7017B">
        <w:rPr>
          <w:rFonts w:eastAsia="Batang"/>
          <w:b/>
          <w:sz w:val="24"/>
          <w:szCs w:val="24"/>
          <w:lang w:val="fr-CA"/>
        </w:rPr>
        <w:t>doivent s’inscrire à la conférence</w:t>
      </w:r>
      <w:r w:rsidRPr="00D7017B">
        <w:rPr>
          <w:rFonts w:eastAsia="Batang"/>
          <w:sz w:val="24"/>
          <w:szCs w:val="24"/>
          <w:lang w:val="fr-CA"/>
        </w:rPr>
        <w:t xml:space="preserve"> et payer les frais afférents</w:t>
      </w:r>
    </w:p>
    <w:p w14:paraId="14ACCBC5" w14:textId="56CA9300" w:rsidR="003C6E78" w:rsidRPr="00D7017B" w:rsidRDefault="00D7017B" w:rsidP="00D7017B">
      <w:pPr>
        <w:numPr>
          <w:ilvl w:val="0"/>
          <w:numId w:val="9"/>
        </w:numPr>
        <w:rPr>
          <w:sz w:val="24"/>
          <w:szCs w:val="24"/>
          <w:lang w:val="fr-CA"/>
        </w:rPr>
      </w:pPr>
      <w:r w:rsidRPr="00D7017B">
        <w:rPr>
          <w:sz w:val="24"/>
          <w:szCs w:val="24"/>
          <w:lang w:val="fr-CA"/>
        </w:rPr>
        <w:t xml:space="preserve">Les candidats </w:t>
      </w:r>
      <w:r w:rsidRPr="00D7017B">
        <w:rPr>
          <w:rFonts w:eastAsia="Batang" w:cstheme="minorHAnsi"/>
          <w:sz w:val="24"/>
          <w:szCs w:val="24"/>
          <w:lang w:val="fr-CA"/>
        </w:rPr>
        <w:t xml:space="preserve">de résumés doivent identifier </w:t>
      </w:r>
      <w:r w:rsidRPr="00D7017B">
        <w:rPr>
          <w:rFonts w:eastAsia="Batang" w:cstheme="minorHAnsi"/>
          <w:b/>
          <w:sz w:val="24"/>
          <w:szCs w:val="24"/>
          <w:lang w:val="fr-CA"/>
        </w:rPr>
        <w:t>trois questions cruciales</w:t>
      </w:r>
      <w:r w:rsidRPr="00D7017B">
        <w:rPr>
          <w:rFonts w:eastAsia="Batang" w:cstheme="minorHAnsi"/>
          <w:sz w:val="24"/>
          <w:szCs w:val="24"/>
          <w:lang w:val="fr-CA"/>
        </w:rPr>
        <w:t xml:space="preserve"> sur leur formulaire de soumission, qui pourraient être posées par les participants suite à leur présentation, suite à la lecture de l’affiche ou suite à la participation à l’atelier.  Ces informations seront présentées aux animateurs de séances afin de les guider</w:t>
      </w:r>
    </w:p>
    <w:p w14:paraId="3A74CC45" w14:textId="386AE146" w:rsidR="00D7017B" w:rsidRPr="00D7017B" w:rsidRDefault="00D7017B">
      <w:pPr>
        <w:numPr>
          <w:ilvl w:val="0"/>
          <w:numId w:val="9"/>
        </w:numPr>
        <w:spacing w:after="240"/>
        <w:rPr>
          <w:sz w:val="24"/>
          <w:szCs w:val="24"/>
          <w:lang w:val="fr-CA"/>
        </w:rPr>
      </w:pPr>
      <w:r w:rsidRPr="00D7017B">
        <w:rPr>
          <w:sz w:val="24"/>
          <w:szCs w:val="24"/>
          <w:lang w:val="fr-CA"/>
        </w:rPr>
        <w:t xml:space="preserve">Tous les </w:t>
      </w:r>
      <w:r w:rsidRPr="00D7017B">
        <w:rPr>
          <w:rFonts w:eastAsia="Batang"/>
          <w:sz w:val="24"/>
          <w:szCs w:val="24"/>
          <w:lang w:val="fr-CA"/>
        </w:rPr>
        <w:t>candidats doivent identifier</w:t>
      </w:r>
      <w:r w:rsidR="0068058A">
        <w:rPr>
          <w:rFonts w:eastAsia="Batang"/>
          <w:sz w:val="24"/>
          <w:szCs w:val="24"/>
          <w:lang w:val="fr-CA"/>
        </w:rPr>
        <w:t xml:space="preserve"> un</w:t>
      </w:r>
      <w:r w:rsidRPr="00D7017B">
        <w:rPr>
          <w:rFonts w:eastAsia="Batang"/>
          <w:sz w:val="24"/>
          <w:szCs w:val="24"/>
          <w:lang w:val="fr-CA"/>
        </w:rPr>
        <w:t xml:space="preserve"> sous-thème ou un sujet alternatif qui décrit au mieux le domaine du sujet de bioéthique abordé.  Cette information sera utilisée aux fins de présentations de groupes, le cas échéant.</w:t>
      </w:r>
    </w:p>
    <w:p w14:paraId="016E03C6" w14:textId="7EC7CC69" w:rsidR="003C6E78" w:rsidRPr="009D5809" w:rsidRDefault="004D0BBA">
      <w:pPr>
        <w:spacing w:before="240" w:after="240"/>
        <w:rPr>
          <w:b/>
          <w:sz w:val="24"/>
          <w:szCs w:val="24"/>
          <w:lang w:val="fr-CA"/>
        </w:rPr>
      </w:pPr>
      <w:r>
        <w:rPr>
          <w:b/>
          <w:sz w:val="24"/>
          <w:szCs w:val="24"/>
          <w:lang w:val="fr-CA"/>
        </w:rPr>
        <w:t>S</w:t>
      </w:r>
      <w:r w:rsidR="00711C77">
        <w:rPr>
          <w:b/>
          <w:sz w:val="24"/>
          <w:szCs w:val="24"/>
          <w:lang w:val="fr-CA"/>
        </w:rPr>
        <w:t>ous-thèmes</w:t>
      </w:r>
    </w:p>
    <w:p w14:paraId="0335CFBF" w14:textId="77777777" w:rsidR="00711C77" w:rsidRPr="009D5809" w:rsidRDefault="00711C77" w:rsidP="00711C77">
      <w:pPr>
        <w:numPr>
          <w:ilvl w:val="0"/>
          <w:numId w:val="8"/>
        </w:numPr>
        <w:shd w:val="clear" w:color="auto" w:fill="FFFFFF"/>
        <w:spacing w:before="240"/>
        <w:rPr>
          <w:sz w:val="24"/>
          <w:szCs w:val="24"/>
          <w:lang w:val="fr-CA"/>
        </w:rPr>
      </w:pPr>
      <w:r>
        <w:rPr>
          <w:sz w:val="24"/>
          <w:szCs w:val="24"/>
          <w:lang w:val="fr-CA"/>
        </w:rPr>
        <w:t xml:space="preserve">Injustices à caractère racial et leurs manifestations dans le contexte de la santé et de soins médicaux, qui persistent en raison de racisme systématique et d’oppression structurelle et les préjugés implicites qui persistent et qui entraînent la discrimination et les préjugés.  </w:t>
      </w:r>
    </w:p>
    <w:p w14:paraId="719FEB8A" w14:textId="77777777" w:rsidR="00711C77" w:rsidRPr="009D5809" w:rsidRDefault="00711C77" w:rsidP="00711C77">
      <w:pPr>
        <w:numPr>
          <w:ilvl w:val="0"/>
          <w:numId w:val="8"/>
        </w:numPr>
        <w:rPr>
          <w:sz w:val="24"/>
          <w:szCs w:val="24"/>
          <w:lang w:val="fr-CA"/>
        </w:rPr>
      </w:pPr>
      <w:r>
        <w:rPr>
          <w:sz w:val="24"/>
          <w:szCs w:val="24"/>
          <w:lang w:val="fr-CA"/>
        </w:rPr>
        <w:t>Les incidences disproportionnées du coronavirus sur les communautés et les groupes et les politiques et pratiques entreprises à l’égard de ces incidences.</w:t>
      </w:r>
    </w:p>
    <w:p w14:paraId="76A15E36" w14:textId="3F2FD4F2" w:rsidR="00711C77" w:rsidRPr="009D5809" w:rsidRDefault="00711C77" w:rsidP="00711C77">
      <w:pPr>
        <w:numPr>
          <w:ilvl w:val="0"/>
          <w:numId w:val="8"/>
        </w:numPr>
        <w:rPr>
          <w:sz w:val="24"/>
          <w:szCs w:val="24"/>
          <w:lang w:val="fr-CA"/>
        </w:rPr>
      </w:pPr>
      <w:r>
        <w:rPr>
          <w:sz w:val="24"/>
          <w:szCs w:val="24"/>
          <w:lang w:val="fr-CA"/>
        </w:rPr>
        <w:t>Les lacunes de la réponse du secteur de la bioéthique, à la fois historique</w:t>
      </w:r>
      <w:r w:rsidR="0071645A">
        <w:rPr>
          <w:sz w:val="24"/>
          <w:szCs w:val="24"/>
          <w:lang w:val="fr-CA"/>
        </w:rPr>
        <w:t>s</w:t>
      </w:r>
      <w:r>
        <w:rPr>
          <w:sz w:val="24"/>
          <w:szCs w:val="24"/>
          <w:lang w:val="fr-CA"/>
        </w:rPr>
        <w:t xml:space="preserve"> et actuelle</w:t>
      </w:r>
      <w:r w:rsidR="0071645A">
        <w:rPr>
          <w:sz w:val="24"/>
          <w:szCs w:val="24"/>
          <w:lang w:val="fr-CA"/>
        </w:rPr>
        <w:t>s</w:t>
      </w:r>
      <w:r>
        <w:rPr>
          <w:sz w:val="24"/>
          <w:szCs w:val="24"/>
          <w:lang w:val="fr-CA"/>
        </w:rPr>
        <w:t>, en matière d’accès équitable aux soins de santé pour tous.</w:t>
      </w:r>
    </w:p>
    <w:p w14:paraId="4714B51D" w14:textId="77777777" w:rsidR="00711C77" w:rsidRPr="009D5809" w:rsidRDefault="00711C77" w:rsidP="00711C77">
      <w:pPr>
        <w:numPr>
          <w:ilvl w:val="0"/>
          <w:numId w:val="8"/>
        </w:numPr>
        <w:rPr>
          <w:lang w:val="fr-CA"/>
        </w:rPr>
      </w:pPr>
      <w:r>
        <w:rPr>
          <w:sz w:val="24"/>
          <w:szCs w:val="24"/>
          <w:lang w:val="fr-CA"/>
        </w:rPr>
        <w:t>La nécessité d’un effort soutenu visant à traiter les questions d’équité qui retiennent enfin l’attention en raison de la pandémie.</w:t>
      </w:r>
    </w:p>
    <w:p w14:paraId="539A5190" w14:textId="77777777" w:rsidR="00711C77" w:rsidRPr="009D5809" w:rsidRDefault="00711C77" w:rsidP="00711C77">
      <w:pPr>
        <w:numPr>
          <w:ilvl w:val="0"/>
          <w:numId w:val="8"/>
        </w:numPr>
        <w:spacing w:after="240"/>
        <w:rPr>
          <w:lang w:val="fr-CA"/>
        </w:rPr>
      </w:pPr>
      <w:r>
        <w:rPr>
          <w:sz w:val="24"/>
          <w:szCs w:val="24"/>
          <w:lang w:val="fr-CA"/>
        </w:rPr>
        <w:t>Les enjeux de bioéthique en lien avec la COVID-19 et les réponses provoquées (par exemple : données et I.A., établissement des priorités, politique en matière de santé, recherche, nouvelles technologies, médias sociaux).</w:t>
      </w:r>
    </w:p>
    <w:p w14:paraId="38FF4F89" w14:textId="1C230562" w:rsidR="00430D83" w:rsidRPr="009D5809" w:rsidRDefault="00961ED9">
      <w:pPr>
        <w:spacing w:before="240" w:after="240"/>
        <w:rPr>
          <w:b/>
          <w:sz w:val="24"/>
          <w:szCs w:val="24"/>
          <w:lang w:val="fr-CA"/>
        </w:rPr>
      </w:pPr>
      <w:r>
        <w:rPr>
          <w:b/>
          <w:sz w:val="24"/>
          <w:szCs w:val="24"/>
          <w:lang w:val="fr-CA"/>
        </w:rPr>
        <w:t>Sou</w:t>
      </w:r>
      <w:r w:rsidR="00711C77">
        <w:rPr>
          <w:b/>
          <w:sz w:val="24"/>
          <w:szCs w:val="24"/>
          <w:lang w:val="fr-CA"/>
        </w:rPr>
        <w:t>s</w:t>
      </w:r>
      <w:r>
        <w:rPr>
          <w:b/>
          <w:sz w:val="24"/>
          <w:szCs w:val="24"/>
          <w:lang w:val="fr-CA"/>
        </w:rPr>
        <w:t>-thèmes alternatifs allant au-delà du sujet principal et des sous-thèmes.</w:t>
      </w:r>
    </w:p>
    <w:p w14:paraId="359B0F71" w14:textId="49C7A7D0" w:rsidR="003C6E78" w:rsidRPr="009D5809" w:rsidRDefault="00961ED9">
      <w:pPr>
        <w:spacing w:before="240" w:after="240"/>
        <w:rPr>
          <w:sz w:val="24"/>
          <w:szCs w:val="24"/>
          <w:lang w:val="fr-CA"/>
        </w:rPr>
      </w:pPr>
      <w:r>
        <w:rPr>
          <w:sz w:val="24"/>
          <w:szCs w:val="24"/>
          <w:lang w:val="fr-CA"/>
        </w:rPr>
        <w:t xml:space="preserve">Les soumissions de sujets allant au de-là de ceux en lien avec le </w:t>
      </w:r>
      <w:r w:rsidR="00711C77">
        <w:rPr>
          <w:sz w:val="24"/>
          <w:szCs w:val="24"/>
          <w:lang w:val="fr-CA"/>
        </w:rPr>
        <w:t>thème général et les sous-thèmes sont encouragés et peuvent comprendre, sans s’y limiter, les sujets suivants :</w:t>
      </w:r>
    </w:p>
    <w:p w14:paraId="238343D9" w14:textId="77777777" w:rsidR="00711C77" w:rsidRPr="00711C77" w:rsidRDefault="00711C77" w:rsidP="00711C77">
      <w:pPr>
        <w:numPr>
          <w:ilvl w:val="0"/>
          <w:numId w:val="1"/>
        </w:numPr>
        <w:spacing w:after="5" w:line="249" w:lineRule="auto"/>
        <w:ind w:right="339"/>
        <w:rPr>
          <w:sz w:val="24"/>
          <w:szCs w:val="24"/>
          <w:lang w:val="fr-CA"/>
        </w:rPr>
      </w:pPr>
      <w:r w:rsidRPr="00711C77">
        <w:rPr>
          <w:sz w:val="24"/>
          <w:szCs w:val="24"/>
          <w:lang w:val="fr-CA"/>
        </w:rPr>
        <w:t xml:space="preserve">Évaluation de l’éthique et des technologies de la santé </w:t>
      </w:r>
    </w:p>
    <w:p w14:paraId="38C50103" w14:textId="77777777" w:rsidR="00711C77" w:rsidRPr="00711C77" w:rsidRDefault="00711C77" w:rsidP="00711C77">
      <w:pPr>
        <w:numPr>
          <w:ilvl w:val="0"/>
          <w:numId w:val="1"/>
        </w:numPr>
        <w:spacing w:after="5" w:line="249" w:lineRule="auto"/>
        <w:ind w:right="339"/>
        <w:rPr>
          <w:sz w:val="24"/>
          <w:szCs w:val="24"/>
          <w:lang w:val="fr-CA"/>
        </w:rPr>
      </w:pPr>
      <w:r w:rsidRPr="00711C77">
        <w:rPr>
          <w:sz w:val="24"/>
          <w:szCs w:val="24"/>
          <w:lang w:val="fr-CA"/>
        </w:rPr>
        <w:t xml:space="preserve">L’éthique en santé publique </w:t>
      </w:r>
    </w:p>
    <w:p w14:paraId="7350E4A7" w14:textId="1D657961" w:rsidR="003C6E78" w:rsidRPr="00711C77" w:rsidRDefault="0068058A">
      <w:pPr>
        <w:numPr>
          <w:ilvl w:val="0"/>
          <w:numId w:val="1"/>
        </w:numPr>
        <w:rPr>
          <w:sz w:val="24"/>
          <w:szCs w:val="24"/>
          <w:lang w:val="fr-CA"/>
        </w:rPr>
      </w:pPr>
      <w:r>
        <w:rPr>
          <w:sz w:val="24"/>
          <w:szCs w:val="24"/>
          <w:lang w:val="fr-CA"/>
        </w:rPr>
        <w:t>Questions liées à l’utilisation des données et de l’I.A.</w:t>
      </w:r>
    </w:p>
    <w:p w14:paraId="70B905A9" w14:textId="77777777" w:rsidR="00711C77" w:rsidRPr="00711C77" w:rsidRDefault="00711C77" w:rsidP="00711C77">
      <w:pPr>
        <w:numPr>
          <w:ilvl w:val="0"/>
          <w:numId w:val="1"/>
        </w:numPr>
        <w:spacing w:after="5" w:line="249" w:lineRule="auto"/>
        <w:ind w:right="339"/>
        <w:rPr>
          <w:sz w:val="24"/>
          <w:szCs w:val="24"/>
          <w:lang w:val="fr-CA"/>
        </w:rPr>
      </w:pPr>
      <w:r w:rsidRPr="00711C77">
        <w:rPr>
          <w:sz w:val="24"/>
          <w:szCs w:val="24"/>
          <w:lang w:val="fr-CA"/>
        </w:rPr>
        <w:t xml:space="preserve">Théories et méthodologie dans le domaine de l’éthique </w:t>
      </w:r>
    </w:p>
    <w:p w14:paraId="7B889107" w14:textId="2ED6C20F" w:rsidR="003C6E78" w:rsidRPr="00711C77" w:rsidRDefault="00711C77">
      <w:pPr>
        <w:numPr>
          <w:ilvl w:val="0"/>
          <w:numId w:val="1"/>
        </w:numPr>
        <w:rPr>
          <w:sz w:val="24"/>
          <w:szCs w:val="24"/>
          <w:lang w:val="fr-CA"/>
        </w:rPr>
      </w:pPr>
      <w:r w:rsidRPr="00711C77">
        <w:rPr>
          <w:sz w:val="24"/>
          <w:szCs w:val="24"/>
          <w:lang w:val="fr-CA"/>
        </w:rPr>
        <w:t>Éthique organisationnelle</w:t>
      </w:r>
    </w:p>
    <w:p w14:paraId="4130C091" w14:textId="36FB68C3" w:rsidR="003C6E78" w:rsidRPr="00711C77" w:rsidRDefault="00711C77">
      <w:pPr>
        <w:numPr>
          <w:ilvl w:val="0"/>
          <w:numId w:val="1"/>
        </w:numPr>
        <w:rPr>
          <w:sz w:val="24"/>
          <w:szCs w:val="24"/>
          <w:lang w:val="fr-CA"/>
        </w:rPr>
      </w:pPr>
      <w:r w:rsidRPr="00711C77">
        <w:rPr>
          <w:sz w:val="24"/>
          <w:szCs w:val="24"/>
          <w:lang w:val="fr-CA"/>
        </w:rPr>
        <w:t>Éthique clinique</w:t>
      </w:r>
    </w:p>
    <w:p w14:paraId="065845D5" w14:textId="4CFB7A14" w:rsidR="003C6E78" w:rsidRPr="00711C77" w:rsidRDefault="00CD1229">
      <w:pPr>
        <w:numPr>
          <w:ilvl w:val="0"/>
          <w:numId w:val="1"/>
        </w:numPr>
        <w:rPr>
          <w:sz w:val="24"/>
          <w:szCs w:val="24"/>
          <w:lang w:val="fr-CA"/>
        </w:rPr>
      </w:pPr>
      <w:r>
        <w:rPr>
          <w:sz w:val="24"/>
          <w:szCs w:val="24"/>
          <w:lang w:val="fr-CA"/>
        </w:rPr>
        <w:lastRenderedPageBreak/>
        <w:t>Allocation de ressources</w:t>
      </w:r>
    </w:p>
    <w:p w14:paraId="4B5A9721" w14:textId="77777777" w:rsidR="00711C77" w:rsidRPr="00711C77" w:rsidRDefault="00711C77" w:rsidP="00711C77">
      <w:pPr>
        <w:numPr>
          <w:ilvl w:val="0"/>
          <w:numId w:val="1"/>
        </w:numPr>
        <w:spacing w:after="5" w:line="249" w:lineRule="auto"/>
        <w:ind w:right="339"/>
        <w:rPr>
          <w:sz w:val="24"/>
          <w:szCs w:val="24"/>
          <w:lang w:val="fr-CA"/>
        </w:rPr>
      </w:pPr>
      <w:r w:rsidRPr="00711C77">
        <w:rPr>
          <w:sz w:val="24"/>
          <w:szCs w:val="24"/>
          <w:lang w:val="fr-CA"/>
        </w:rPr>
        <w:t xml:space="preserve">L’éthique et l’information ou les médias/réseaux sociaux </w:t>
      </w:r>
    </w:p>
    <w:p w14:paraId="28A7381B" w14:textId="5E9AF4E1" w:rsidR="00711C77" w:rsidRPr="00711C77" w:rsidRDefault="00CD1229" w:rsidP="00711C77">
      <w:pPr>
        <w:numPr>
          <w:ilvl w:val="0"/>
          <w:numId w:val="1"/>
        </w:numPr>
        <w:spacing w:after="5" w:line="249" w:lineRule="auto"/>
        <w:ind w:right="339"/>
        <w:rPr>
          <w:sz w:val="24"/>
          <w:szCs w:val="24"/>
          <w:lang w:val="fr-CA"/>
        </w:rPr>
      </w:pPr>
      <w:r>
        <w:rPr>
          <w:sz w:val="24"/>
          <w:szCs w:val="24"/>
          <w:lang w:val="fr-CA"/>
        </w:rPr>
        <w:t>É</w:t>
      </w:r>
      <w:r w:rsidR="00711C77" w:rsidRPr="00711C77">
        <w:rPr>
          <w:sz w:val="24"/>
          <w:szCs w:val="24"/>
          <w:lang w:val="fr-CA"/>
        </w:rPr>
        <w:t xml:space="preserve">thique et la politique en matière de santé </w:t>
      </w:r>
    </w:p>
    <w:p w14:paraId="42431B03" w14:textId="77777777" w:rsidR="00711C77" w:rsidRPr="00711C77" w:rsidRDefault="00711C77" w:rsidP="00711C77">
      <w:pPr>
        <w:numPr>
          <w:ilvl w:val="0"/>
          <w:numId w:val="1"/>
        </w:numPr>
        <w:spacing w:after="5" w:line="249" w:lineRule="auto"/>
        <w:ind w:right="339"/>
        <w:rPr>
          <w:sz w:val="24"/>
          <w:szCs w:val="24"/>
          <w:lang w:val="fr-CA"/>
        </w:rPr>
      </w:pPr>
      <w:r w:rsidRPr="00711C77">
        <w:rPr>
          <w:sz w:val="24"/>
          <w:szCs w:val="24"/>
          <w:lang w:val="fr-CA"/>
        </w:rPr>
        <w:t xml:space="preserve">Éthique de la recherche </w:t>
      </w:r>
    </w:p>
    <w:p w14:paraId="77CD8623" w14:textId="77777777" w:rsidR="003C6E78" w:rsidRPr="009D5809" w:rsidRDefault="003C6E78">
      <w:pPr>
        <w:shd w:val="clear" w:color="auto" w:fill="FFFFFF"/>
        <w:spacing w:before="240" w:after="200"/>
        <w:rPr>
          <w:i/>
          <w:sz w:val="24"/>
          <w:szCs w:val="24"/>
          <w:lang w:val="fr-CA"/>
        </w:rPr>
      </w:pPr>
    </w:p>
    <w:p w14:paraId="229FE98C" w14:textId="4EF546FC" w:rsidR="003C6E78" w:rsidRPr="009D5809" w:rsidRDefault="00DE466A">
      <w:pPr>
        <w:shd w:val="clear" w:color="auto" w:fill="FFFFFF"/>
        <w:spacing w:before="240" w:after="200"/>
        <w:rPr>
          <w:i/>
          <w:sz w:val="24"/>
          <w:szCs w:val="24"/>
          <w:lang w:val="fr-CA"/>
        </w:rPr>
      </w:pPr>
      <w:r w:rsidRPr="009D5809">
        <w:rPr>
          <w:i/>
          <w:sz w:val="24"/>
          <w:szCs w:val="24"/>
          <w:lang w:val="fr-CA"/>
        </w:rPr>
        <w:t>NOTE</w:t>
      </w:r>
      <w:r w:rsidR="00711C77">
        <w:rPr>
          <w:i/>
          <w:sz w:val="24"/>
          <w:szCs w:val="24"/>
          <w:lang w:val="fr-CA"/>
        </w:rPr>
        <w:t xml:space="preserve"> </w:t>
      </w:r>
      <w:r w:rsidRPr="009D5809">
        <w:rPr>
          <w:i/>
          <w:sz w:val="24"/>
          <w:szCs w:val="24"/>
          <w:lang w:val="fr-CA"/>
        </w:rPr>
        <w:t xml:space="preserve">: </w:t>
      </w:r>
      <w:r w:rsidR="00A6784F">
        <w:rPr>
          <w:i/>
          <w:sz w:val="24"/>
          <w:szCs w:val="24"/>
          <w:lang w:val="fr-CA"/>
        </w:rPr>
        <w:t>nouvelle soumission des résumés 2020</w:t>
      </w:r>
    </w:p>
    <w:p w14:paraId="6BCF6B03" w14:textId="59034DF3" w:rsidR="003C6E78" w:rsidRPr="004D5F50" w:rsidRDefault="00A6784F">
      <w:pPr>
        <w:shd w:val="clear" w:color="auto" w:fill="FFFFFF"/>
        <w:spacing w:before="240" w:after="200"/>
        <w:rPr>
          <w:i/>
          <w:sz w:val="24"/>
          <w:szCs w:val="24"/>
          <w:lang w:val="fr-CA"/>
        </w:rPr>
      </w:pPr>
      <w:r>
        <w:rPr>
          <w:i/>
          <w:sz w:val="24"/>
          <w:szCs w:val="24"/>
          <w:lang w:val="fr-CA"/>
        </w:rPr>
        <w:t>Si vous aviez précédemment soumis un résumé pour la SCB 2020 et que votre résumé avait été accepté mais</w:t>
      </w:r>
      <w:r w:rsidR="004D5F50">
        <w:rPr>
          <w:i/>
          <w:sz w:val="24"/>
          <w:szCs w:val="24"/>
          <w:lang w:val="fr-CA"/>
        </w:rPr>
        <w:t xml:space="preserve"> qu’il vous fut impossible de présenter le contenu, pren</w:t>
      </w:r>
      <w:r w:rsidR="007F1861">
        <w:rPr>
          <w:i/>
          <w:sz w:val="24"/>
          <w:szCs w:val="24"/>
          <w:lang w:val="fr-CA"/>
        </w:rPr>
        <w:t>ez</w:t>
      </w:r>
      <w:r w:rsidR="004D5F50">
        <w:rPr>
          <w:i/>
          <w:sz w:val="24"/>
          <w:szCs w:val="24"/>
          <w:lang w:val="fr-CA"/>
        </w:rPr>
        <w:t xml:space="preserve"> note que ces résumés ont été publiés sur le site Web de la SCB.  Nous vous déconseillons fortement de soumettre de nouveau le même résumé qui ava</w:t>
      </w:r>
      <w:r w:rsidR="007F1861">
        <w:rPr>
          <w:i/>
          <w:sz w:val="24"/>
          <w:szCs w:val="24"/>
          <w:lang w:val="fr-CA"/>
        </w:rPr>
        <w:t>i</w:t>
      </w:r>
      <w:r w:rsidR="004D5F50">
        <w:rPr>
          <w:i/>
          <w:sz w:val="24"/>
          <w:szCs w:val="24"/>
          <w:lang w:val="fr-CA"/>
        </w:rPr>
        <w:t xml:space="preserve">t été </w:t>
      </w:r>
      <w:r w:rsidR="007F1861">
        <w:rPr>
          <w:i/>
          <w:sz w:val="24"/>
          <w:szCs w:val="24"/>
          <w:lang w:val="fr-CA"/>
        </w:rPr>
        <w:t xml:space="preserve">précédemment </w:t>
      </w:r>
      <w:r w:rsidR="004D5F50">
        <w:rPr>
          <w:i/>
          <w:sz w:val="24"/>
          <w:szCs w:val="24"/>
          <w:lang w:val="fr-CA"/>
        </w:rPr>
        <w:t>accepté.  N’hésitez pas à soumettre un résumé présenté antérieurement mais qui n’avait pas été accepté.  Alternativement, vous pouvez présenter une version adaptée du résumé précédemment accepté pour 2020.  Veuillez alors présenter un résumé adapté et révisé</w:t>
      </w:r>
      <w:r w:rsidR="007F1861">
        <w:rPr>
          <w:i/>
          <w:sz w:val="24"/>
          <w:szCs w:val="24"/>
          <w:lang w:val="fr-CA"/>
        </w:rPr>
        <w:t>,</w:t>
      </w:r>
      <w:r w:rsidR="004D5F50">
        <w:rPr>
          <w:i/>
          <w:sz w:val="24"/>
          <w:szCs w:val="24"/>
          <w:lang w:val="fr-CA"/>
        </w:rPr>
        <w:t xml:space="preserve"> aux fins d’examen</w:t>
      </w:r>
      <w:r w:rsidR="007F1861">
        <w:rPr>
          <w:i/>
          <w:sz w:val="24"/>
          <w:szCs w:val="24"/>
          <w:lang w:val="fr-CA"/>
        </w:rPr>
        <w:t>,</w:t>
      </w:r>
      <w:r w:rsidR="004D5F50">
        <w:rPr>
          <w:i/>
          <w:sz w:val="24"/>
          <w:szCs w:val="24"/>
          <w:lang w:val="fr-CA"/>
        </w:rPr>
        <w:t xml:space="preserve"> en y incorporant au besoin, les thèmes et les sous-thèmes de la conférence.  </w:t>
      </w:r>
      <w:r>
        <w:rPr>
          <w:i/>
          <w:sz w:val="24"/>
          <w:szCs w:val="24"/>
          <w:lang w:val="fr-CA"/>
        </w:rPr>
        <w:t xml:space="preserve"> </w:t>
      </w:r>
    </w:p>
    <w:sectPr w:rsidR="003C6E78" w:rsidRPr="004D5F50" w:rsidSect="006045D2">
      <w:pgSz w:w="11909" w:h="16834"/>
      <w:pgMar w:top="993" w:right="1440" w:bottom="1135"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3F082" w14:textId="77777777" w:rsidR="0070743E" w:rsidRDefault="0070743E">
      <w:pPr>
        <w:spacing w:line="240" w:lineRule="auto"/>
      </w:pPr>
      <w:r>
        <w:separator/>
      </w:r>
    </w:p>
  </w:endnote>
  <w:endnote w:type="continuationSeparator" w:id="0">
    <w:p w14:paraId="6820B405" w14:textId="77777777" w:rsidR="0070743E" w:rsidRDefault="00707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12AA6" w14:textId="77777777" w:rsidR="0070743E" w:rsidRDefault="0070743E">
      <w:pPr>
        <w:spacing w:line="240" w:lineRule="auto"/>
      </w:pPr>
      <w:r>
        <w:separator/>
      </w:r>
    </w:p>
  </w:footnote>
  <w:footnote w:type="continuationSeparator" w:id="0">
    <w:p w14:paraId="7ABE7D49" w14:textId="77777777" w:rsidR="0070743E" w:rsidRDefault="007074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BB70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visibility:visible;mso-wrap-style:square" o:bullet="t">
        <v:imagedata r:id="rId1" o:title=""/>
      </v:shape>
    </w:pict>
  </w:numPicBullet>
  <w:abstractNum w:abstractNumId="0" w15:restartNumberingAfterBreak="0">
    <w:nsid w:val="0BF31C9C"/>
    <w:multiLevelType w:val="multilevel"/>
    <w:tmpl w:val="A1EC4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046E5"/>
    <w:multiLevelType w:val="multilevel"/>
    <w:tmpl w:val="FB70B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E24881"/>
    <w:multiLevelType w:val="hybridMultilevel"/>
    <w:tmpl w:val="945CFD2A"/>
    <w:lvl w:ilvl="0" w:tplc="009A5A82">
      <w:start w:val="1"/>
      <w:numFmt w:val="bullet"/>
      <w:lvlText w:val=""/>
      <w:lvlPicBulletId w:val="0"/>
      <w:lvlJc w:val="left"/>
      <w:pPr>
        <w:tabs>
          <w:tab w:val="num" w:pos="720"/>
        </w:tabs>
        <w:ind w:left="720" w:hanging="360"/>
      </w:pPr>
      <w:rPr>
        <w:rFonts w:ascii="Symbol" w:hAnsi="Symbol" w:hint="default"/>
      </w:rPr>
    </w:lvl>
    <w:lvl w:ilvl="1" w:tplc="B9C66372" w:tentative="1">
      <w:start w:val="1"/>
      <w:numFmt w:val="bullet"/>
      <w:lvlText w:val=""/>
      <w:lvlJc w:val="left"/>
      <w:pPr>
        <w:tabs>
          <w:tab w:val="num" w:pos="1440"/>
        </w:tabs>
        <w:ind w:left="1440" w:hanging="360"/>
      </w:pPr>
      <w:rPr>
        <w:rFonts w:ascii="Symbol" w:hAnsi="Symbol" w:hint="default"/>
      </w:rPr>
    </w:lvl>
    <w:lvl w:ilvl="2" w:tplc="6408EEC4" w:tentative="1">
      <w:start w:val="1"/>
      <w:numFmt w:val="bullet"/>
      <w:lvlText w:val=""/>
      <w:lvlJc w:val="left"/>
      <w:pPr>
        <w:tabs>
          <w:tab w:val="num" w:pos="2160"/>
        </w:tabs>
        <w:ind w:left="2160" w:hanging="360"/>
      </w:pPr>
      <w:rPr>
        <w:rFonts w:ascii="Symbol" w:hAnsi="Symbol" w:hint="default"/>
      </w:rPr>
    </w:lvl>
    <w:lvl w:ilvl="3" w:tplc="72C2F942" w:tentative="1">
      <w:start w:val="1"/>
      <w:numFmt w:val="bullet"/>
      <w:lvlText w:val=""/>
      <w:lvlJc w:val="left"/>
      <w:pPr>
        <w:tabs>
          <w:tab w:val="num" w:pos="2880"/>
        </w:tabs>
        <w:ind w:left="2880" w:hanging="360"/>
      </w:pPr>
      <w:rPr>
        <w:rFonts w:ascii="Symbol" w:hAnsi="Symbol" w:hint="default"/>
      </w:rPr>
    </w:lvl>
    <w:lvl w:ilvl="4" w:tplc="03902770" w:tentative="1">
      <w:start w:val="1"/>
      <w:numFmt w:val="bullet"/>
      <w:lvlText w:val=""/>
      <w:lvlJc w:val="left"/>
      <w:pPr>
        <w:tabs>
          <w:tab w:val="num" w:pos="3600"/>
        </w:tabs>
        <w:ind w:left="3600" w:hanging="360"/>
      </w:pPr>
      <w:rPr>
        <w:rFonts w:ascii="Symbol" w:hAnsi="Symbol" w:hint="default"/>
      </w:rPr>
    </w:lvl>
    <w:lvl w:ilvl="5" w:tplc="7C1A80EE" w:tentative="1">
      <w:start w:val="1"/>
      <w:numFmt w:val="bullet"/>
      <w:lvlText w:val=""/>
      <w:lvlJc w:val="left"/>
      <w:pPr>
        <w:tabs>
          <w:tab w:val="num" w:pos="4320"/>
        </w:tabs>
        <w:ind w:left="4320" w:hanging="360"/>
      </w:pPr>
      <w:rPr>
        <w:rFonts w:ascii="Symbol" w:hAnsi="Symbol" w:hint="default"/>
      </w:rPr>
    </w:lvl>
    <w:lvl w:ilvl="6" w:tplc="98963E24" w:tentative="1">
      <w:start w:val="1"/>
      <w:numFmt w:val="bullet"/>
      <w:lvlText w:val=""/>
      <w:lvlJc w:val="left"/>
      <w:pPr>
        <w:tabs>
          <w:tab w:val="num" w:pos="5040"/>
        </w:tabs>
        <w:ind w:left="5040" w:hanging="360"/>
      </w:pPr>
      <w:rPr>
        <w:rFonts w:ascii="Symbol" w:hAnsi="Symbol" w:hint="default"/>
      </w:rPr>
    </w:lvl>
    <w:lvl w:ilvl="7" w:tplc="4D5E72E6" w:tentative="1">
      <w:start w:val="1"/>
      <w:numFmt w:val="bullet"/>
      <w:lvlText w:val=""/>
      <w:lvlJc w:val="left"/>
      <w:pPr>
        <w:tabs>
          <w:tab w:val="num" w:pos="5760"/>
        </w:tabs>
        <w:ind w:left="5760" w:hanging="360"/>
      </w:pPr>
      <w:rPr>
        <w:rFonts w:ascii="Symbol" w:hAnsi="Symbol" w:hint="default"/>
      </w:rPr>
    </w:lvl>
    <w:lvl w:ilvl="8" w:tplc="6C8826F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66C60D7"/>
    <w:multiLevelType w:val="hybridMultilevel"/>
    <w:tmpl w:val="E49E3340"/>
    <w:lvl w:ilvl="0" w:tplc="9A5E963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D4C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666C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A4D9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D066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72E7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8AC5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8CD9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FC07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660AD5"/>
    <w:multiLevelType w:val="hybridMultilevel"/>
    <w:tmpl w:val="84A42792"/>
    <w:lvl w:ilvl="0" w:tplc="8036002C">
      <w:start w:val="1"/>
      <w:numFmt w:val="bullet"/>
      <w:lvlText w:val=""/>
      <w:lvlJc w:val="left"/>
      <w:pPr>
        <w:ind w:left="360" w:hanging="360"/>
      </w:pPr>
      <w:rPr>
        <w:rFonts w:ascii="Symbol" w:hAnsi="Symbol" w:hint="default"/>
        <w:sz w:val="20"/>
        <w:szCs w:val="20"/>
      </w:rPr>
    </w:lvl>
    <w:lvl w:ilvl="1" w:tplc="343C489A">
      <w:start w:val="3"/>
      <w:numFmt w:val="bullet"/>
      <w:lvlText w:val="•"/>
      <w:lvlJc w:val="left"/>
      <w:pPr>
        <w:ind w:left="1080" w:hanging="360"/>
      </w:pPr>
      <w:rPr>
        <w:rFonts w:ascii="Cambria" w:eastAsia="Batang" w:hAnsi="Cambria"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5E7D5D"/>
    <w:multiLevelType w:val="multilevel"/>
    <w:tmpl w:val="53323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A70F29"/>
    <w:multiLevelType w:val="multilevel"/>
    <w:tmpl w:val="8BDAC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B843E4"/>
    <w:multiLevelType w:val="hybridMultilevel"/>
    <w:tmpl w:val="717AF52C"/>
    <w:lvl w:ilvl="0" w:tplc="9D8C902C">
      <w:start w:val="1"/>
      <w:numFmt w:val="decimal"/>
      <w:lvlText w:val="%1."/>
      <w:lvlJc w:val="left"/>
      <w:pPr>
        <w:ind w:left="1080" w:hanging="360"/>
      </w:pPr>
      <w:rPr>
        <w:rFonts w:eastAsia="Batang"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5B242FFA"/>
    <w:multiLevelType w:val="multilevel"/>
    <w:tmpl w:val="A1DC1D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61A070FD"/>
    <w:multiLevelType w:val="multilevel"/>
    <w:tmpl w:val="B95EE4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6146C6A"/>
    <w:multiLevelType w:val="hybridMultilevel"/>
    <w:tmpl w:val="CEF04D58"/>
    <w:lvl w:ilvl="0" w:tplc="803600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A4CCD"/>
    <w:multiLevelType w:val="hybridMultilevel"/>
    <w:tmpl w:val="0F8A8790"/>
    <w:lvl w:ilvl="0" w:tplc="10B2D1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8AD1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F0E0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3096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7610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003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7653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52FF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824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3F72A2"/>
    <w:multiLevelType w:val="multilevel"/>
    <w:tmpl w:val="DE8AE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C875B0"/>
    <w:multiLevelType w:val="multilevel"/>
    <w:tmpl w:val="43D81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4A283F"/>
    <w:multiLevelType w:val="multilevel"/>
    <w:tmpl w:val="7B945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CF116B"/>
    <w:multiLevelType w:val="multilevel"/>
    <w:tmpl w:val="D6921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8"/>
  </w:num>
  <w:num w:numId="4">
    <w:abstractNumId w:val="6"/>
  </w:num>
  <w:num w:numId="5">
    <w:abstractNumId w:val="0"/>
  </w:num>
  <w:num w:numId="6">
    <w:abstractNumId w:val="14"/>
  </w:num>
  <w:num w:numId="7">
    <w:abstractNumId w:val="12"/>
  </w:num>
  <w:num w:numId="8">
    <w:abstractNumId w:val="15"/>
  </w:num>
  <w:num w:numId="9">
    <w:abstractNumId w:val="1"/>
  </w:num>
  <w:num w:numId="10">
    <w:abstractNumId w:val="13"/>
  </w:num>
  <w:num w:numId="11">
    <w:abstractNumId w:val="11"/>
  </w:num>
  <w:num w:numId="12">
    <w:abstractNumId w:val="2"/>
  </w:num>
  <w:num w:numId="13">
    <w:abstractNumId w:val="10"/>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8"/>
    <w:rsid w:val="001708A4"/>
    <w:rsid w:val="001B70DD"/>
    <w:rsid w:val="00207B9B"/>
    <w:rsid w:val="0022574F"/>
    <w:rsid w:val="00237F7F"/>
    <w:rsid w:val="00260CF6"/>
    <w:rsid w:val="00281860"/>
    <w:rsid w:val="00297EFE"/>
    <w:rsid w:val="00367A8E"/>
    <w:rsid w:val="00391769"/>
    <w:rsid w:val="003A7D72"/>
    <w:rsid w:val="003C69B1"/>
    <w:rsid w:val="003C6E78"/>
    <w:rsid w:val="00413383"/>
    <w:rsid w:val="00430D83"/>
    <w:rsid w:val="00433241"/>
    <w:rsid w:val="00451DA2"/>
    <w:rsid w:val="004756F1"/>
    <w:rsid w:val="004C0E22"/>
    <w:rsid w:val="004D0BBA"/>
    <w:rsid w:val="004D5F50"/>
    <w:rsid w:val="00591D36"/>
    <w:rsid w:val="005C30F8"/>
    <w:rsid w:val="006045D2"/>
    <w:rsid w:val="00663985"/>
    <w:rsid w:val="0068058A"/>
    <w:rsid w:val="006A01A7"/>
    <w:rsid w:val="006D4FA6"/>
    <w:rsid w:val="0070743E"/>
    <w:rsid w:val="0070767D"/>
    <w:rsid w:val="00711C77"/>
    <w:rsid w:val="0071645A"/>
    <w:rsid w:val="007279CC"/>
    <w:rsid w:val="00730A3C"/>
    <w:rsid w:val="007C36F7"/>
    <w:rsid w:val="007F1861"/>
    <w:rsid w:val="00836891"/>
    <w:rsid w:val="00874DFC"/>
    <w:rsid w:val="00891760"/>
    <w:rsid w:val="008A0855"/>
    <w:rsid w:val="008C0EED"/>
    <w:rsid w:val="008D372F"/>
    <w:rsid w:val="00961ED9"/>
    <w:rsid w:val="009D3889"/>
    <w:rsid w:val="009D5809"/>
    <w:rsid w:val="00A07D9F"/>
    <w:rsid w:val="00A3458C"/>
    <w:rsid w:val="00A656C2"/>
    <w:rsid w:val="00A6784F"/>
    <w:rsid w:val="00A739D6"/>
    <w:rsid w:val="00AB13C7"/>
    <w:rsid w:val="00C76AD2"/>
    <w:rsid w:val="00CB13AC"/>
    <w:rsid w:val="00CD1229"/>
    <w:rsid w:val="00CE3B9D"/>
    <w:rsid w:val="00D26CF5"/>
    <w:rsid w:val="00D301B4"/>
    <w:rsid w:val="00D337BE"/>
    <w:rsid w:val="00D44FF7"/>
    <w:rsid w:val="00D63AD6"/>
    <w:rsid w:val="00D7017B"/>
    <w:rsid w:val="00DD1E1C"/>
    <w:rsid w:val="00DE466A"/>
    <w:rsid w:val="00E51CC3"/>
    <w:rsid w:val="00E75BC4"/>
    <w:rsid w:val="00E9544D"/>
    <w:rsid w:val="00EC4861"/>
    <w:rsid w:val="00F06B6C"/>
    <w:rsid w:val="00F85EC4"/>
    <w:rsid w:val="00FC37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87FF6F"/>
  <w15:docId w15:val="{7CFF4957-6390-43A9-A646-F6B0731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708A4"/>
    <w:pPr>
      <w:tabs>
        <w:tab w:val="center" w:pos="4680"/>
        <w:tab w:val="right" w:pos="9360"/>
      </w:tabs>
      <w:spacing w:line="240" w:lineRule="auto"/>
    </w:pPr>
  </w:style>
  <w:style w:type="character" w:customStyle="1" w:styleId="HeaderChar">
    <w:name w:val="Header Char"/>
    <w:basedOn w:val="DefaultParagraphFont"/>
    <w:link w:val="Header"/>
    <w:uiPriority w:val="99"/>
    <w:rsid w:val="001708A4"/>
  </w:style>
  <w:style w:type="paragraph" w:styleId="Footer">
    <w:name w:val="footer"/>
    <w:basedOn w:val="Normal"/>
    <w:link w:val="FooterChar"/>
    <w:uiPriority w:val="99"/>
    <w:unhideWhenUsed/>
    <w:rsid w:val="001708A4"/>
    <w:pPr>
      <w:tabs>
        <w:tab w:val="center" w:pos="4680"/>
        <w:tab w:val="right" w:pos="9360"/>
      </w:tabs>
      <w:spacing w:line="240" w:lineRule="auto"/>
    </w:pPr>
  </w:style>
  <w:style w:type="character" w:customStyle="1" w:styleId="FooterChar">
    <w:name w:val="Footer Char"/>
    <w:basedOn w:val="DefaultParagraphFont"/>
    <w:link w:val="Footer"/>
    <w:uiPriority w:val="99"/>
    <w:rsid w:val="001708A4"/>
  </w:style>
  <w:style w:type="paragraph" w:styleId="ListParagraph">
    <w:name w:val="List Paragraph"/>
    <w:basedOn w:val="Normal"/>
    <w:uiPriority w:val="34"/>
    <w:qFormat/>
    <w:rsid w:val="008A0855"/>
    <w:pPr>
      <w:spacing w:after="160" w:line="259" w:lineRule="auto"/>
      <w:ind w:left="720"/>
      <w:contextualSpacing/>
    </w:pPr>
    <w:rPr>
      <w:rFonts w:asciiTheme="minorHAnsi" w:eastAsia="MS Mincho" w:hAnsiTheme="minorHAnsi" w:cstheme="minorBidi"/>
      <w:lang w:val="en-US" w:eastAsia="en-US"/>
    </w:rPr>
  </w:style>
  <w:style w:type="character" w:styleId="Hyperlink">
    <w:name w:val="Hyperlink"/>
    <w:basedOn w:val="DefaultParagraphFont"/>
    <w:uiPriority w:val="99"/>
    <w:unhideWhenUsed/>
    <w:rsid w:val="009D3889"/>
    <w:rPr>
      <w:color w:val="0000FF" w:themeColor="hyperlink"/>
      <w:u w:val="single"/>
    </w:rPr>
  </w:style>
  <w:style w:type="character" w:customStyle="1" w:styleId="UnresolvedMention">
    <w:name w:val="Unresolved Mention"/>
    <w:basedOn w:val="DefaultParagraphFont"/>
    <w:uiPriority w:val="99"/>
    <w:semiHidden/>
    <w:unhideWhenUsed/>
    <w:rsid w:val="009D3889"/>
    <w:rPr>
      <w:color w:val="605E5C"/>
      <w:shd w:val="clear" w:color="auto" w:fill="E1DFDD"/>
    </w:rPr>
  </w:style>
  <w:style w:type="paragraph" w:styleId="NormalWeb">
    <w:name w:val="Normal (Web)"/>
    <w:basedOn w:val="Normal"/>
    <w:uiPriority w:val="99"/>
    <w:unhideWhenUsed/>
    <w:rsid w:val="006045D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s.f2fe.com/cbs2020/abstract/index.cfm?ID=1EBRUl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AF48-DF65-4830-85C9-8E80B8A6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asdf</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Reel, Kevin</dc:creator>
  <cp:lastModifiedBy>Godkin, Dianne</cp:lastModifiedBy>
  <cp:revision>2</cp:revision>
  <cp:lastPrinted>2021-01-23T16:03:00Z</cp:lastPrinted>
  <dcterms:created xsi:type="dcterms:W3CDTF">2021-02-23T18:51:00Z</dcterms:created>
  <dcterms:modified xsi:type="dcterms:W3CDTF">2021-02-23T18:51:00Z</dcterms:modified>
</cp:coreProperties>
</file>